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F7E" w:rsidRDefault="00E35C36">
      <w:pPr>
        <w:jc w:val="center"/>
        <w:rPr>
          <w:b/>
          <w:sz w:val="20"/>
          <w:szCs w:val="20"/>
        </w:rPr>
      </w:pPr>
      <w:r>
        <w:rPr>
          <w:sz w:val="20"/>
          <w:szCs w:val="20"/>
        </w:rPr>
        <w:t>\</w:t>
      </w:r>
      <w:r w:rsidR="006374C8">
        <w:rPr>
          <w:b/>
          <w:sz w:val="20"/>
          <w:szCs w:val="20"/>
        </w:rPr>
        <w:t>Iepriekšējā p</w:t>
      </w:r>
      <w:r w:rsidR="00DF2A38">
        <w:rPr>
          <w:b/>
          <w:sz w:val="20"/>
          <w:szCs w:val="20"/>
        </w:rPr>
        <w:t xml:space="preserve">lāna periodā veikto </w:t>
      </w:r>
      <w:r>
        <w:rPr>
          <w:b/>
          <w:sz w:val="20"/>
          <w:szCs w:val="20"/>
        </w:rPr>
        <w:t xml:space="preserve">tūrisma un tūrisma infrastruktūras </w:t>
      </w:r>
      <w:bookmarkStart w:id="0" w:name="_GoBack"/>
      <w:bookmarkEnd w:id="0"/>
      <w:r w:rsidR="00DF2A38">
        <w:rPr>
          <w:b/>
          <w:sz w:val="20"/>
          <w:szCs w:val="20"/>
        </w:rPr>
        <w:t xml:space="preserve">pasākumu </w:t>
      </w:r>
      <w:proofErr w:type="spellStart"/>
      <w:r w:rsidR="00DF2A38">
        <w:rPr>
          <w:b/>
          <w:sz w:val="20"/>
          <w:szCs w:val="20"/>
        </w:rPr>
        <w:t>izvērtējums</w:t>
      </w:r>
      <w:proofErr w:type="spellEnd"/>
    </w:p>
    <w:p w:rsidR="006C3F7E" w:rsidRDefault="006C3F7E">
      <w:pPr>
        <w:jc w:val="both"/>
        <w:rPr>
          <w:b/>
          <w:sz w:val="20"/>
          <w:szCs w:val="20"/>
        </w:rPr>
      </w:pPr>
    </w:p>
    <w:tbl>
      <w:tblPr>
        <w:tblStyle w:val="a"/>
        <w:tblW w:w="9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
        <w:gridCol w:w="1842"/>
        <w:gridCol w:w="993"/>
        <w:gridCol w:w="2693"/>
        <w:gridCol w:w="3685"/>
      </w:tblGrid>
      <w:tr w:rsidR="006C3F7E" w:rsidRPr="00F00A7E" w:rsidTr="00F00A7E">
        <w:tc>
          <w:tcPr>
            <w:tcW w:w="541" w:type="dxa"/>
          </w:tcPr>
          <w:p w:rsidR="006C3F7E" w:rsidRPr="00F00A7E" w:rsidRDefault="00DF2A38">
            <w:pPr>
              <w:jc w:val="both"/>
              <w:rPr>
                <w:rFonts w:asciiTheme="majorHAnsi" w:hAnsiTheme="majorHAnsi" w:cstheme="majorHAnsi"/>
                <w:sz w:val="20"/>
                <w:szCs w:val="20"/>
              </w:rPr>
            </w:pPr>
            <w:proofErr w:type="spellStart"/>
            <w:r w:rsidRPr="00F00A7E">
              <w:rPr>
                <w:rFonts w:asciiTheme="majorHAnsi" w:hAnsiTheme="majorHAnsi" w:cstheme="majorHAnsi"/>
                <w:sz w:val="20"/>
                <w:szCs w:val="20"/>
              </w:rPr>
              <w:t>Nr.p.k</w:t>
            </w:r>
            <w:proofErr w:type="spellEnd"/>
            <w:r w:rsidRPr="00F00A7E">
              <w:rPr>
                <w:rFonts w:asciiTheme="majorHAnsi" w:hAnsiTheme="majorHAnsi" w:cstheme="majorHAnsi"/>
                <w:sz w:val="20"/>
                <w:szCs w:val="20"/>
              </w:rPr>
              <w:t>.</w:t>
            </w:r>
          </w:p>
        </w:tc>
        <w:tc>
          <w:tcPr>
            <w:tcW w:w="1842"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Apsaimniekošanas pasākums</w:t>
            </w:r>
          </w:p>
        </w:tc>
        <w:tc>
          <w:tcPr>
            <w:tcW w:w="993"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Ieviesējs</w:t>
            </w:r>
          </w:p>
        </w:tc>
        <w:tc>
          <w:tcPr>
            <w:tcW w:w="2693"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Apsaimniekošanas pasākuma īstenošanas laiks un regularitāte</w:t>
            </w:r>
          </w:p>
        </w:tc>
        <w:tc>
          <w:tcPr>
            <w:tcW w:w="3685"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Apsaimniekošanas efektivitāte</w:t>
            </w:r>
          </w:p>
        </w:tc>
      </w:tr>
      <w:tr w:rsidR="006C3F7E" w:rsidRPr="00F00A7E" w:rsidTr="00F00A7E">
        <w:tc>
          <w:tcPr>
            <w:tcW w:w="541"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A1</w:t>
            </w:r>
          </w:p>
        </w:tc>
        <w:tc>
          <w:tcPr>
            <w:tcW w:w="1842" w:type="dxa"/>
          </w:tcPr>
          <w:p w:rsidR="006C3F7E" w:rsidRPr="00F00A7E" w:rsidRDefault="00DF2A38">
            <w:pPr>
              <w:jc w:val="both"/>
              <w:rPr>
                <w:rFonts w:asciiTheme="majorHAnsi" w:hAnsiTheme="majorHAnsi" w:cstheme="majorHAnsi"/>
                <w:sz w:val="20"/>
                <w:szCs w:val="20"/>
              </w:rPr>
            </w:pPr>
            <w:r w:rsidRPr="00F00A7E">
              <w:rPr>
                <w:rFonts w:asciiTheme="majorHAnsi" w:eastAsia="Arial Narrow" w:hAnsiTheme="majorHAnsi" w:cstheme="majorHAnsi"/>
                <w:i/>
                <w:sz w:val="20"/>
                <w:szCs w:val="20"/>
              </w:rPr>
              <w:t>Tūrisma taku izveidošana un labiekārtošana</w:t>
            </w:r>
          </w:p>
        </w:tc>
        <w:tc>
          <w:tcPr>
            <w:tcW w:w="993"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DAP, LVM</w:t>
            </w:r>
          </w:p>
        </w:tc>
        <w:tc>
          <w:tcPr>
            <w:tcW w:w="2693"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2012.gadā LVM izveidojuši 850m garu pastaigu taku (koka laipas, masīvkoka soliņi, atkritumu tvertnes). Taka sākas netālu no Brīvdabas muzeja un aizved līdz pludmalei un uz otru p</w:t>
            </w:r>
            <w:r w:rsidR="00F00A7E">
              <w:rPr>
                <w:rFonts w:asciiTheme="majorHAnsi" w:hAnsiTheme="majorHAnsi" w:cstheme="majorHAnsi"/>
                <w:sz w:val="20"/>
                <w:szCs w:val="20"/>
              </w:rPr>
              <w:t>usi – līdz daudzdzīvokļu mājām.</w:t>
            </w:r>
          </w:p>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Laikā no 25.08.2010. – 26.08.2014. Da</w:t>
            </w:r>
            <w:r w:rsidR="006374C8">
              <w:rPr>
                <w:rFonts w:asciiTheme="majorHAnsi" w:hAnsiTheme="majorHAnsi" w:cstheme="majorHAnsi"/>
                <w:sz w:val="20"/>
                <w:szCs w:val="20"/>
              </w:rPr>
              <w:t>bas aizsardzības pārvalde (DAP)</w:t>
            </w:r>
            <w:r w:rsidRPr="00F00A7E">
              <w:rPr>
                <w:rFonts w:asciiTheme="majorHAnsi" w:hAnsiTheme="majorHAnsi" w:cstheme="majorHAnsi"/>
                <w:sz w:val="20"/>
                <w:szCs w:val="20"/>
              </w:rPr>
              <w:t xml:space="preserve"> realizējusi Eiropas Savienības (ES) Kohēzijas fonda projektu</w:t>
            </w:r>
            <w:r w:rsidRPr="00F00A7E">
              <w:rPr>
                <w:rFonts w:asciiTheme="majorHAnsi" w:hAnsiTheme="majorHAnsi" w:cstheme="majorHAnsi"/>
                <w:sz w:val="20"/>
                <w:szCs w:val="20"/>
                <w:vertAlign w:val="superscript"/>
              </w:rPr>
              <w:footnoteReference w:id="1"/>
            </w:r>
            <w:r w:rsidRPr="00F00A7E">
              <w:rPr>
                <w:rFonts w:asciiTheme="majorHAnsi" w:hAnsiTheme="majorHAnsi" w:cstheme="majorHAnsi"/>
                <w:sz w:val="20"/>
                <w:szCs w:val="20"/>
              </w:rPr>
              <w:t>,kura ietvaros izveidota jauna pastaigu taka ~ 2km garumā, vairākās esošajās takās segums uzlabots ar šķembām un granti, izveidoti vairāki jauni informācijas stendi, skatu platformas un atpūtas soliņi.</w:t>
            </w:r>
          </w:p>
          <w:p w:rsidR="006C3F7E" w:rsidRPr="00F00A7E" w:rsidRDefault="00DF2A38" w:rsidP="006374C8">
            <w:pPr>
              <w:jc w:val="both"/>
              <w:rPr>
                <w:rFonts w:asciiTheme="majorHAnsi" w:hAnsiTheme="majorHAnsi" w:cstheme="majorHAnsi"/>
                <w:sz w:val="20"/>
                <w:szCs w:val="20"/>
              </w:rPr>
            </w:pPr>
            <w:r w:rsidRPr="00F00A7E">
              <w:rPr>
                <w:rFonts w:asciiTheme="majorHAnsi" w:hAnsiTheme="majorHAnsi" w:cstheme="majorHAnsi"/>
                <w:sz w:val="20"/>
                <w:szCs w:val="20"/>
              </w:rPr>
              <w:t>LIF</w:t>
            </w:r>
            <w:r w:rsidR="00C12354">
              <w:rPr>
                <w:rFonts w:asciiTheme="majorHAnsi" w:hAnsiTheme="majorHAnsi" w:cstheme="majorHAnsi"/>
                <w:sz w:val="20"/>
                <w:szCs w:val="20"/>
              </w:rPr>
              <w:t xml:space="preserve">E projekta ietvaros Pašvaldības </w:t>
            </w:r>
            <w:r w:rsidRPr="00F00A7E">
              <w:rPr>
                <w:rFonts w:asciiTheme="majorHAnsi" w:hAnsiTheme="majorHAnsi" w:cstheme="majorHAnsi"/>
                <w:sz w:val="20"/>
                <w:szCs w:val="20"/>
              </w:rPr>
              <w:t>veiktā tūrisma taku, veloceliņa, kā arī noeju uz jūru izveide DP teritorijā. (</w:t>
            </w:r>
            <w:proofErr w:type="spellStart"/>
            <w:r w:rsidRPr="00F00A7E">
              <w:rPr>
                <w:rFonts w:asciiTheme="majorHAnsi" w:hAnsiTheme="majorHAnsi" w:cstheme="majorHAnsi"/>
                <w:sz w:val="20"/>
                <w:szCs w:val="20"/>
              </w:rPr>
              <w:t>infr.objektu</w:t>
            </w:r>
            <w:proofErr w:type="spellEnd"/>
            <w:r w:rsidRPr="00F00A7E">
              <w:rPr>
                <w:rFonts w:asciiTheme="majorHAnsi" w:hAnsiTheme="majorHAnsi" w:cstheme="majorHAnsi"/>
                <w:sz w:val="20"/>
                <w:szCs w:val="20"/>
              </w:rPr>
              <w:t xml:space="preserve"> slānis (līnijas), objekts </w:t>
            </w:r>
            <w:proofErr w:type="spellStart"/>
            <w:r w:rsidRPr="00F00A7E">
              <w:rPr>
                <w:rFonts w:asciiTheme="majorHAnsi" w:hAnsiTheme="majorHAnsi" w:cstheme="majorHAnsi"/>
                <w:sz w:val="20"/>
                <w:szCs w:val="20"/>
              </w:rPr>
              <w:t>Nr</w:t>
            </w:r>
            <w:proofErr w:type="spellEnd"/>
            <w:r w:rsidRPr="00F00A7E">
              <w:rPr>
                <w:rFonts w:asciiTheme="majorHAnsi" w:hAnsiTheme="majorHAnsi" w:cstheme="majorHAnsi"/>
                <w:sz w:val="20"/>
                <w:szCs w:val="20"/>
              </w:rPr>
              <w:t xml:space="preserve"> 98)</w:t>
            </w:r>
          </w:p>
        </w:tc>
        <w:tc>
          <w:tcPr>
            <w:tcW w:w="3685"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Taka ir izveidota kvalitatīvi, tiek regulāri uzturēta un atjaunota. Atkritumu tvertnes tiek regulāri tukšotas. Taka lieliski mazina slodzi uz mežainajām kāpām un veicina antropogēnās slodzes mazināšanos dabas parkā.</w:t>
            </w:r>
          </w:p>
          <w:p w:rsidR="006C3F7E" w:rsidRPr="00F00A7E" w:rsidRDefault="006C3F7E">
            <w:pPr>
              <w:jc w:val="both"/>
              <w:rPr>
                <w:rFonts w:asciiTheme="majorHAnsi" w:hAnsiTheme="majorHAnsi" w:cstheme="majorHAnsi"/>
                <w:sz w:val="20"/>
                <w:szCs w:val="20"/>
              </w:rPr>
            </w:pPr>
          </w:p>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Izveidotā taka radīta, lai mazinātu antropogēno slodzi, īpaši uz mežainajām kāpām, un novirzītu apmeklētāju plūsmas pa marķētu maršrutu, mazinot nomīdīšanu un plašu taku tīkla attīstīšanos. Taka ir izveidota kvalitatīvi un pilda savu mērķi. Lai izmērītu apsaimniekošanas pasākuma efektivitāt</w:t>
            </w:r>
            <w:r w:rsidR="00F00A7E">
              <w:rPr>
                <w:rFonts w:asciiTheme="majorHAnsi" w:hAnsiTheme="majorHAnsi" w:cstheme="majorHAnsi"/>
                <w:sz w:val="20"/>
                <w:szCs w:val="20"/>
              </w:rPr>
              <w:t>i</w:t>
            </w:r>
            <w:r w:rsidRPr="00F00A7E">
              <w:rPr>
                <w:rFonts w:asciiTheme="majorHAnsi" w:hAnsiTheme="majorHAnsi" w:cstheme="majorHAnsi"/>
                <w:sz w:val="20"/>
                <w:szCs w:val="20"/>
              </w:rPr>
              <w:t xml:space="preserve"> un izbūvētās infrastruktūras noslodzi, būtu jāveic padziļināts apmeklētāju plūsmas pētījums, kā arī anketēšana.</w:t>
            </w:r>
          </w:p>
          <w:p w:rsidR="00C12354" w:rsidRDefault="00C12354">
            <w:pPr>
              <w:jc w:val="both"/>
              <w:rPr>
                <w:rFonts w:asciiTheme="majorHAnsi" w:hAnsiTheme="majorHAnsi" w:cstheme="majorHAnsi"/>
                <w:sz w:val="20"/>
                <w:szCs w:val="20"/>
              </w:rPr>
            </w:pPr>
          </w:p>
          <w:p w:rsidR="006C3F7E" w:rsidRPr="00F00A7E" w:rsidRDefault="00DF2A38">
            <w:pPr>
              <w:jc w:val="both"/>
              <w:rPr>
                <w:rFonts w:asciiTheme="majorHAnsi" w:hAnsiTheme="majorHAnsi" w:cstheme="majorHAnsi"/>
                <w:color w:val="FF0000"/>
                <w:sz w:val="20"/>
                <w:szCs w:val="20"/>
              </w:rPr>
            </w:pPr>
            <w:r w:rsidRPr="00F00A7E">
              <w:rPr>
                <w:rFonts w:asciiTheme="majorHAnsi" w:hAnsiTheme="majorHAnsi" w:cstheme="majorHAnsi"/>
                <w:sz w:val="20"/>
                <w:szCs w:val="20"/>
              </w:rPr>
              <w:t>Projektā izveidotās noejas, kā arī pastaigu tiek aktīvi izmantotas un ir uzturētas labā kārtībā. Viena no takām ir arī oficiāls “</w:t>
            </w:r>
            <w:proofErr w:type="spellStart"/>
            <w:r w:rsidRPr="00F00A7E">
              <w:rPr>
                <w:rFonts w:asciiTheme="majorHAnsi" w:hAnsiTheme="majorHAnsi" w:cstheme="majorHAnsi"/>
                <w:sz w:val="20"/>
                <w:szCs w:val="20"/>
              </w:rPr>
              <w:t>Jūrtakas</w:t>
            </w:r>
            <w:proofErr w:type="spellEnd"/>
            <w:r w:rsidRPr="00F00A7E">
              <w:rPr>
                <w:rFonts w:asciiTheme="majorHAnsi" w:hAnsiTheme="majorHAnsi" w:cstheme="majorHAnsi"/>
                <w:sz w:val="20"/>
                <w:szCs w:val="20"/>
              </w:rPr>
              <w:t xml:space="preserve"> piekrastes gājēju ceļa” posms, marķētas ar zilu marķējumu.</w:t>
            </w:r>
            <w:r w:rsidRPr="00F00A7E">
              <w:rPr>
                <w:rFonts w:asciiTheme="majorHAnsi" w:hAnsiTheme="majorHAnsi" w:cstheme="majorHAnsi"/>
                <w:sz w:val="20"/>
                <w:szCs w:val="20"/>
                <w:vertAlign w:val="superscript"/>
              </w:rPr>
              <w:footnoteReference w:id="2"/>
            </w:r>
            <w:r w:rsidRPr="00F00A7E">
              <w:rPr>
                <w:rFonts w:asciiTheme="majorHAnsi" w:hAnsiTheme="majorHAnsi" w:cstheme="majorHAnsi"/>
                <w:sz w:val="20"/>
                <w:szCs w:val="20"/>
              </w:rPr>
              <w:t xml:space="preserve"> </w:t>
            </w:r>
          </w:p>
        </w:tc>
      </w:tr>
      <w:tr w:rsidR="006C3F7E" w:rsidRPr="00F00A7E" w:rsidTr="00F00A7E">
        <w:tc>
          <w:tcPr>
            <w:tcW w:w="541"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A2</w:t>
            </w:r>
          </w:p>
        </w:tc>
        <w:tc>
          <w:tcPr>
            <w:tcW w:w="1842" w:type="dxa"/>
          </w:tcPr>
          <w:p w:rsidR="006C3F7E" w:rsidRPr="00F00A7E" w:rsidRDefault="00DF2A38">
            <w:pPr>
              <w:pBdr>
                <w:top w:val="nil"/>
                <w:left w:val="nil"/>
                <w:bottom w:val="nil"/>
                <w:right w:val="nil"/>
                <w:between w:val="nil"/>
              </w:pBdr>
              <w:spacing w:after="0"/>
              <w:jc w:val="both"/>
              <w:rPr>
                <w:rFonts w:asciiTheme="majorHAnsi" w:eastAsia="Arial Narrow" w:hAnsiTheme="majorHAnsi" w:cstheme="majorHAnsi"/>
                <w:color w:val="000000"/>
                <w:sz w:val="20"/>
                <w:szCs w:val="20"/>
              </w:rPr>
            </w:pPr>
            <w:r w:rsidRPr="00F00A7E">
              <w:rPr>
                <w:rFonts w:asciiTheme="majorHAnsi" w:eastAsia="Arial Narrow" w:hAnsiTheme="majorHAnsi" w:cstheme="majorHAnsi"/>
                <w:color w:val="000000"/>
                <w:sz w:val="20"/>
                <w:szCs w:val="20"/>
              </w:rPr>
              <w:t>Esošo sabiedrisko tualešu atjaunošana un jaunu tualešu izvietošana</w:t>
            </w:r>
          </w:p>
        </w:tc>
        <w:tc>
          <w:tcPr>
            <w:tcW w:w="993"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JPD</w:t>
            </w:r>
          </w:p>
        </w:tc>
        <w:tc>
          <w:tcPr>
            <w:tcW w:w="2693"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DP Ragakāpa teritorijā ir maksas (0.25eur) sabiedriskā tualete, izvietota netālu no Brīvdabas muzeja. Otra šāda veida sabiedriskā tualete atrodas ārpus Dabas parka teritorijas, pa pludmali dodoties dzelzceļa stacijas “Lielupe” virzien</w:t>
            </w:r>
            <w:r w:rsidR="00C12354">
              <w:rPr>
                <w:rFonts w:asciiTheme="majorHAnsi" w:hAnsiTheme="majorHAnsi" w:cstheme="majorHAnsi"/>
                <w:sz w:val="20"/>
                <w:szCs w:val="20"/>
              </w:rPr>
              <w:t xml:space="preserve">ā, </w:t>
            </w:r>
            <w:proofErr w:type="spellStart"/>
            <w:r w:rsidR="00C12354">
              <w:rPr>
                <w:rFonts w:asciiTheme="majorHAnsi" w:hAnsiTheme="majorHAnsi" w:cstheme="majorHAnsi"/>
                <w:sz w:val="20"/>
                <w:szCs w:val="20"/>
              </w:rPr>
              <w:t>P.Stradiņa</w:t>
            </w:r>
            <w:proofErr w:type="spellEnd"/>
            <w:r w:rsidR="00C12354">
              <w:rPr>
                <w:rFonts w:asciiTheme="majorHAnsi" w:hAnsiTheme="majorHAnsi" w:cstheme="majorHAnsi"/>
                <w:sz w:val="20"/>
                <w:szCs w:val="20"/>
              </w:rPr>
              <w:t xml:space="preserve"> ielas pašā sākumā, kā arī pie Lašu ielas 7.</w:t>
            </w:r>
          </w:p>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 xml:space="preserve">Divas āra </w:t>
            </w:r>
            <w:proofErr w:type="spellStart"/>
            <w:r w:rsidRPr="00F00A7E">
              <w:rPr>
                <w:rFonts w:asciiTheme="majorHAnsi" w:hAnsiTheme="majorHAnsi" w:cstheme="majorHAnsi"/>
                <w:sz w:val="20"/>
                <w:szCs w:val="20"/>
              </w:rPr>
              <w:t>biotualetes</w:t>
            </w:r>
            <w:proofErr w:type="spellEnd"/>
            <w:r w:rsidRPr="00F00A7E">
              <w:rPr>
                <w:rFonts w:asciiTheme="majorHAnsi" w:hAnsiTheme="majorHAnsi" w:cstheme="majorHAnsi"/>
                <w:sz w:val="20"/>
                <w:szCs w:val="20"/>
              </w:rPr>
              <w:t xml:space="preserve"> ir pieejamas arī Jūrmalas Brīvdabas muzeja apmeklētājiem.</w:t>
            </w:r>
          </w:p>
          <w:p w:rsidR="006C3F7E" w:rsidRPr="00F00A7E" w:rsidRDefault="00DF2A38" w:rsidP="00682E99">
            <w:pPr>
              <w:jc w:val="both"/>
              <w:rPr>
                <w:rFonts w:asciiTheme="majorHAnsi" w:hAnsiTheme="majorHAnsi" w:cstheme="majorHAnsi"/>
                <w:sz w:val="20"/>
                <w:szCs w:val="20"/>
              </w:rPr>
            </w:pPr>
            <w:r w:rsidRPr="00F00A7E">
              <w:rPr>
                <w:rFonts w:asciiTheme="majorHAnsi" w:hAnsiTheme="majorHAnsi" w:cstheme="majorHAnsi"/>
                <w:sz w:val="20"/>
                <w:szCs w:val="20"/>
              </w:rPr>
              <w:t xml:space="preserve">Tualetes ēka netālu no </w:t>
            </w:r>
            <w:r w:rsidRPr="00F00A7E">
              <w:rPr>
                <w:rFonts w:asciiTheme="majorHAnsi" w:hAnsiTheme="majorHAnsi" w:cstheme="majorHAnsi"/>
                <w:sz w:val="20"/>
                <w:szCs w:val="20"/>
              </w:rPr>
              <w:lastRenderedPageBreak/>
              <w:t xml:space="preserve">13.līnijas (objekts Nr. 1025 DAP </w:t>
            </w:r>
            <w:proofErr w:type="spellStart"/>
            <w:r w:rsidRPr="00F00A7E">
              <w:rPr>
                <w:rFonts w:asciiTheme="majorHAnsi" w:hAnsiTheme="majorHAnsi" w:cstheme="majorHAnsi"/>
                <w:sz w:val="20"/>
                <w:szCs w:val="20"/>
              </w:rPr>
              <w:t>aps</w:t>
            </w:r>
            <w:proofErr w:type="spellEnd"/>
            <w:r w:rsidRPr="00F00A7E">
              <w:rPr>
                <w:rFonts w:asciiTheme="majorHAnsi" w:hAnsiTheme="majorHAnsi" w:cstheme="majorHAnsi"/>
                <w:sz w:val="20"/>
                <w:szCs w:val="20"/>
              </w:rPr>
              <w:t xml:space="preserve">. pasākumu slānī) </w:t>
            </w:r>
            <w:r w:rsidR="00682E99">
              <w:rPr>
                <w:rFonts w:asciiTheme="majorHAnsi" w:hAnsiTheme="majorHAnsi" w:cstheme="majorHAnsi"/>
                <w:sz w:val="20"/>
                <w:szCs w:val="20"/>
              </w:rPr>
              <w:t xml:space="preserve">ir slēgta un netiek izmantota tās izbūves vēsturiskajam mērķim, tā </w:t>
            </w:r>
            <w:r w:rsidRPr="00F00A7E">
              <w:rPr>
                <w:rFonts w:asciiTheme="majorHAnsi" w:hAnsiTheme="majorHAnsi" w:cstheme="majorHAnsi"/>
                <w:sz w:val="20"/>
                <w:szCs w:val="20"/>
              </w:rPr>
              <w:t>nepilda savas funkcijas.</w:t>
            </w:r>
          </w:p>
        </w:tc>
        <w:tc>
          <w:tcPr>
            <w:tcW w:w="3685"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lastRenderedPageBreak/>
              <w:t>Dabas parkā esošo sabiedrisko tualešu skaits ir neproporcionāls teritorijas apmeklētāju skaitam. Gan tiem, kas ieradušies apmeklēt dabas parku, gan tiem, kas šķērso dabas parka teritoriju, lai dotos uz pludmali rekreatīvos nolūkos. Esošo tualešu efektivitāte ir visai zema, ņemot vērā to skaitu, novietojumu un neesošo informāciju par to atrašanās vietām.</w:t>
            </w:r>
          </w:p>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Iepriekšējā dabas aizsardzības plāna infrastruktūras kartē (Nr.8) par</w:t>
            </w:r>
            <w:r w:rsidR="00EE5A9F">
              <w:rPr>
                <w:rFonts w:asciiTheme="majorHAnsi" w:hAnsiTheme="majorHAnsi" w:cstheme="majorHAnsi"/>
                <w:sz w:val="20"/>
                <w:szCs w:val="20"/>
              </w:rPr>
              <w:t xml:space="preserve">edzētās tualetes nav uzstādītas, kā arī nav atjaunotas vēsturiskās tualetes. </w:t>
            </w:r>
            <w:r w:rsidRPr="00F00A7E">
              <w:rPr>
                <w:rFonts w:asciiTheme="majorHAnsi" w:hAnsiTheme="majorHAnsi" w:cstheme="majorHAnsi"/>
                <w:sz w:val="20"/>
                <w:szCs w:val="20"/>
              </w:rPr>
              <w:t xml:space="preserve">Jūrmalas pilsētas domei jāapsver pārvietojamo labierīcību izveide aktīvās tūrisma sezonas laikā, novietojot tās netālu no visbiežāk </w:t>
            </w:r>
            <w:r w:rsidRPr="00F00A7E">
              <w:rPr>
                <w:rFonts w:asciiTheme="majorHAnsi" w:hAnsiTheme="majorHAnsi" w:cstheme="majorHAnsi"/>
                <w:sz w:val="20"/>
                <w:szCs w:val="20"/>
              </w:rPr>
              <w:lastRenderedPageBreak/>
              <w:t xml:space="preserve">izmantotajām izejām uz jūru. To novietojums būtu jāsaskaņo ar </w:t>
            </w:r>
            <w:r w:rsidR="00EE5A9F">
              <w:rPr>
                <w:rFonts w:asciiTheme="majorHAnsi" w:hAnsiTheme="majorHAnsi" w:cstheme="majorHAnsi"/>
                <w:sz w:val="20"/>
                <w:szCs w:val="20"/>
              </w:rPr>
              <w:t>sertificētu sugu un biotopu eksperta viedokli</w:t>
            </w:r>
            <w:r w:rsidRPr="00F00A7E">
              <w:rPr>
                <w:rFonts w:asciiTheme="majorHAnsi" w:hAnsiTheme="majorHAnsi" w:cstheme="majorHAnsi"/>
                <w:sz w:val="20"/>
                <w:szCs w:val="20"/>
              </w:rPr>
              <w:t xml:space="preserve">. </w:t>
            </w:r>
          </w:p>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 xml:space="preserve">Jāatjauno un jāizveido maksas tualete 13.līnijas tuvumā, ņemot vērā šīs vietas lielo noslodzi sezonas laikā. Tā būtu iespēja apmeklēt labierīcības arī dabas takas apmeklētājiem, kas savu gājienu sāk vai beidz pie 13.līnijas. </w:t>
            </w:r>
          </w:p>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Visas stacionārās labierīcības ir jānorāda informācijas stendos abos dabas takas galos, kā arī Jūrmalas pilsētas izveidotajos stendos, kas attiecināmi uz dabas parka teritoriju.</w:t>
            </w:r>
          </w:p>
        </w:tc>
      </w:tr>
      <w:tr w:rsidR="006C3F7E" w:rsidRPr="00F00A7E" w:rsidTr="00F00A7E">
        <w:tc>
          <w:tcPr>
            <w:tcW w:w="541"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lastRenderedPageBreak/>
              <w:t>A4</w:t>
            </w:r>
          </w:p>
        </w:tc>
        <w:tc>
          <w:tcPr>
            <w:tcW w:w="1842" w:type="dxa"/>
          </w:tcPr>
          <w:p w:rsidR="006C3F7E" w:rsidRPr="00F00A7E" w:rsidRDefault="00DF2A38">
            <w:pPr>
              <w:pBdr>
                <w:top w:val="nil"/>
                <w:left w:val="nil"/>
                <w:bottom w:val="nil"/>
                <w:right w:val="nil"/>
                <w:between w:val="nil"/>
              </w:pBdr>
              <w:spacing w:after="0"/>
              <w:jc w:val="both"/>
              <w:rPr>
                <w:rFonts w:asciiTheme="majorHAnsi" w:eastAsia="Arial Narrow" w:hAnsiTheme="majorHAnsi" w:cstheme="majorHAnsi"/>
                <w:color w:val="000000"/>
                <w:sz w:val="20"/>
                <w:szCs w:val="20"/>
              </w:rPr>
            </w:pPr>
            <w:r w:rsidRPr="00F00A7E">
              <w:rPr>
                <w:rFonts w:asciiTheme="majorHAnsi" w:eastAsia="Arial Narrow" w:hAnsiTheme="majorHAnsi" w:cstheme="majorHAnsi"/>
                <w:color w:val="000000"/>
                <w:sz w:val="20"/>
                <w:szCs w:val="20"/>
              </w:rPr>
              <w:t>Stāvvietu labiekārtošana un informācijas punktu izveide</w:t>
            </w:r>
          </w:p>
        </w:tc>
        <w:tc>
          <w:tcPr>
            <w:tcW w:w="993"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JPD</w:t>
            </w:r>
          </w:p>
        </w:tc>
        <w:tc>
          <w:tcPr>
            <w:tcW w:w="2693" w:type="dxa"/>
          </w:tcPr>
          <w:p w:rsidR="00701024"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No 18.08.2017 līdz: 03.12.2018, piesaistot finansējumu no ES fondiem</w:t>
            </w:r>
            <w:r w:rsidRPr="00F00A7E">
              <w:rPr>
                <w:rFonts w:asciiTheme="majorHAnsi" w:hAnsiTheme="majorHAnsi" w:cstheme="majorHAnsi"/>
                <w:sz w:val="20"/>
                <w:szCs w:val="20"/>
                <w:vertAlign w:val="superscript"/>
              </w:rPr>
              <w:footnoteReference w:id="3"/>
            </w:r>
            <w:r w:rsidRPr="00F00A7E">
              <w:rPr>
                <w:rFonts w:asciiTheme="majorHAnsi" w:hAnsiTheme="majorHAnsi" w:cstheme="majorHAnsi"/>
                <w:sz w:val="20"/>
                <w:szCs w:val="20"/>
              </w:rPr>
              <w:t xml:space="preserve"> Tīklu ielā 1, pie Jūrmalas brīvdabas muzeja, atjaunots stāvlaukums. Piecas automašīnu apstāšanās vietas atjaunotas un astoņas stāvvietas izveidotas no jauna, tai skaitā viena apstāšanās vieta automašīnai, kas paredzēta personām ar īpašām vajadzībām.</w:t>
            </w:r>
          </w:p>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 xml:space="preserve">Divi informācijas punkti un apmācīti darbinieki, kurus bija paredzēts ieviest iepriekšējā dabas aizsardzības plāna realizācijas laikā, </w:t>
            </w:r>
            <w:r w:rsidRPr="00F00A7E">
              <w:rPr>
                <w:rFonts w:asciiTheme="majorHAnsi" w:hAnsiTheme="majorHAnsi" w:cstheme="majorHAnsi"/>
                <w:sz w:val="20"/>
                <w:szCs w:val="20"/>
                <w:u w:val="single"/>
              </w:rPr>
              <w:t>nav ieviesti.</w:t>
            </w:r>
            <w:r w:rsidRPr="00F00A7E">
              <w:rPr>
                <w:rFonts w:asciiTheme="majorHAnsi" w:eastAsia="Arial" w:hAnsiTheme="majorHAnsi" w:cstheme="majorHAnsi"/>
                <w:color w:val="565656"/>
                <w:sz w:val="20"/>
                <w:szCs w:val="20"/>
                <w:shd w:val="clear" w:color="auto" w:fill="F6F6F6"/>
              </w:rPr>
              <w:t> </w:t>
            </w:r>
          </w:p>
        </w:tc>
        <w:tc>
          <w:tcPr>
            <w:tcW w:w="3685"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 xml:space="preserve">Autostāvvietas iekārtotas muzeja apmeklētājiem ērtā vietā, tomēr nav atrisināts stāvvietas jautājums lielajiem autobusiem, kas uz muzeju ved tūristu grupas. Autobusi tiek atstāti </w:t>
            </w:r>
            <w:r w:rsidR="00682E99">
              <w:rPr>
                <w:rFonts w:asciiTheme="majorHAnsi" w:hAnsiTheme="majorHAnsi" w:cstheme="majorHAnsi"/>
                <w:sz w:val="20"/>
                <w:szCs w:val="20"/>
              </w:rPr>
              <w:t xml:space="preserve">pie </w:t>
            </w:r>
            <w:r w:rsidRPr="00F00A7E">
              <w:rPr>
                <w:rFonts w:asciiTheme="majorHAnsi" w:hAnsiTheme="majorHAnsi" w:cstheme="majorHAnsi"/>
                <w:sz w:val="20"/>
                <w:szCs w:val="20"/>
              </w:rPr>
              <w:t xml:space="preserve">Vikingu ielas 37 </w:t>
            </w:r>
            <w:r w:rsidR="00682E99">
              <w:rPr>
                <w:rFonts w:asciiTheme="majorHAnsi" w:hAnsiTheme="majorHAnsi" w:cstheme="majorHAnsi"/>
                <w:sz w:val="20"/>
                <w:szCs w:val="20"/>
              </w:rPr>
              <w:t>(ielas paplašinājumā)</w:t>
            </w:r>
            <w:r w:rsidRPr="00F00A7E">
              <w:rPr>
                <w:rFonts w:asciiTheme="majorHAnsi" w:hAnsiTheme="majorHAnsi" w:cstheme="majorHAnsi"/>
                <w:sz w:val="20"/>
                <w:szCs w:val="20"/>
              </w:rPr>
              <w:t xml:space="preserve">, kas ilgtermiņā būtu jāpozicionē kā pamata stāvlaukums dabas parka un muzeja apmeklētājiem, pie muzeja esošās stāvvietas atstājot tikai un vienīgi muzeja apmeklētājiem (atsevišķas </w:t>
            </w:r>
            <w:proofErr w:type="spellStart"/>
            <w:r w:rsidRPr="00F00A7E">
              <w:rPr>
                <w:rFonts w:asciiTheme="majorHAnsi" w:hAnsiTheme="majorHAnsi" w:cstheme="majorHAnsi"/>
                <w:sz w:val="20"/>
                <w:szCs w:val="20"/>
              </w:rPr>
              <w:t>mērķgrupas</w:t>
            </w:r>
            <w:proofErr w:type="spellEnd"/>
            <w:r w:rsidRPr="00F00A7E">
              <w:rPr>
                <w:rFonts w:asciiTheme="majorHAnsi" w:hAnsiTheme="majorHAnsi" w:cstheme="majorHAnsi"/>
                <w:sz w:val="20"/>
                <w:szCs w:val="20"/>
              </w:rPr>
              <w:t xml:space="preserve"> – ģimenes, pensionāri) un cilvēkiem ar īpašām vajadzībām.</w:t>
            </w:r>
          </w:p>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 xml:space="preserve">Atsaucoties uz muzeja vadītāju, kā arī novērojumiem, apsekojot dabas parka teritoriju, lielākā daļa teritorijas apmeklētāju automašīnu stāvvietā novieto, lai dotos uz pludmali, nevis apmeklētu muzeju. </w:t>
            </w:r>
          </w:p>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Vēlamais apsaimniekošanas pasākums formāli ir ieviests, bet savu primāro mērķi nav sasniedzis.</w:t>
            </w:r>
          </w:p>
          <w:p w:rsidR="00682E99" w:rsidRDefault="00DF2A38">
            <w:pPr>
              <w:jc w:val="both"/>
              <w:rPr>
                <w:rFonts w:asciiTheme="majorHAnsi" w:hAnsiTheme="majorHAnsi" w:cstheme="majorHAnsi"/>
                <w:sz w:val="20"/>
                <w:szCs w:val="20"/>
              </w:rPr>
            </w:pPr>
            <w:r w:rsidRPr="00F00A7E">
              <w:rPr>
                <w:rFonts w:asciiTheme="majorHAnsi" w:hAnsiTheme="majorHAnsi" w:cstheme="majorHAnsi"/>
                <w:sz w:val="20"/>
                <w:szCs w:val="20"/>
              </w:rPr>
              <w:t xml:space="preserve">Stāvvietas teritorijas apmeklētājiem būtu jāparedz tālāk, ārpus dabas parka teritorijas, pašā teritorijā neizbūvējot papildus autostāvvietas. Ņemot vērā, ka visu parka un pludmales apmeklētāju, kas ierodas teritorijā ar automašīnu, vajadzības pēc stāvlaukuma apmierināt ir neiespējami, būtu jāparedz vairāku stāvlaukumu izvietošana tālāk no dabas teritorijas. Došanās uz to būtu paredzēta ar kājām vai velosipēdu, bet ne ar auto. Kā alternatīvu var attīstīt autobusu satiksmi, </w:t>
            </w:r>
            <w:r w:rsidRPr="00F00A7E">
              <w:rPr>
                <w:rFonts w:asciiTheme="majorHAnsi" w:hAnsiTheme="majorHAnsi" w:cstheme="majorHAnsi"/>
                <w:sz w:val="20"/>
                <w:szCs w:val="20"/>
              </w:rPr>
              <w:lastRenderedPageBreak/>
              <w:t xml:space="preserve">kuru aizmugurē iespējams uzvietot velosipēdus. Šādā veidā samazinot automašīnu slodzi un veicinot zaļas un inovatīvas </w:t>
            </w:r>
            <w:r w:rsidR="00701024">
              <w:rPr>
                <w:rFonts w:asciiTheme="majorHAnsi" w:hAnsiTheme="majorHAnsi" w:cstheme="majorHAnsi"/>
                <w:sz w:val="20"/>
                <w:szCs w:val="20"/>
              </w:rPr>
              <w:t>pilsētas tēlu.</w:t>
            </w:r>
          </w:p>
          <w:p w:rsidR="006C3F7E" w:rsidRPr="00F00A7E" w:rsidRDefault="00682E99">
            <w:pPr>
              <w:jc w:val="both"/>
              <w:rPr>
                <w:rFonts w:asciiTheme="majorHAnsi" w:hAnsiTheme="majorHAnsi" w:cstheme="majorHAnsi"/>
                <w:sz w:val="20"/>
                <w:szCs w:val="20"/>
              </w:rPr>
            </w:pPr>
            <w:r>
              <w:rPr>
                <w:rFonts w:asciiTheme="majorHAnsi" w:hAnsiTheme="majorHAnsi" w:cstheme="majorHAnsi"/>
                <w:sz w:val="20"/>
                <w:szCs w:val="20"/>
              </w:rPr>
              <w:t>N</w:t>
            </w:r>
            <w:r w:rsidR="00DF2A38" w:rsidRPr="00F00A7E">
              <w:rPr>
                <w:rFonts w:asciiTheme="majorHAnsi" w:hAnsiTheme="majorHAnsi" w:cstheme="majorHAnsi"/>
                <w:sz w:val="20"/>
                <w:szCs w:val="20"/>
              </w:rPr>
              <w:t xml:space="preserve">av </w:t>
            </w:r>
            <w:r>
              <w:rPr>
                <w:rFonts w:asciiTheme="majorHAnsi" w:hAnsiTheme="majorHAnsi" w:cstheme="majorHAnsi"/>
                <w:sz w:val="20"/>
                <w:szCs w:val="20"/>
              </w:rPr>
              <w:t xml:space="preserve">atbalstāma </w:t>
            </w:r>
            <w:r w:rsidR="00DF2A38" w:rsidRPr="00F00A7E">
              <w:rPr>
                <w:rFonts w:asciiTheme="majorHAnsi" w:hAnsiTheme="majorHAnsi" w:cstheme="majorHAnsi"/>
                <w:sz w:val="20"/>
                <w:szCs w:val="20"/>
              </w:rPr>
              <w:t xml:space="preserve">stāvvietas vai </w:t>
            </w:r>
            <w:r>
              <w:rPr>
                <w:rFonts w:asciiTheme="majorHAnsi" w:hAnsiTheme="majorHAnsi" w:cstheme="majorHAnsi"/>
                <w:sz w:val="20"/>
                <w:szCs w:val="20"/>
              </w:rPr>
              <w:t xml:space="preserve">citu rekreāciju veicinošu infrastruktūras objektu attīstīšana 36.līnijas ielas daļā un stāvlaukumā, jo šī teritorija </w:t>
            </w:r>
            <w:r w:rsidR="00DF2A38" w:rsidRPr="00F00A7E">
              <w:rPr>
                <w:rFonts w:asciiTheme="majorHAnsi" w:hAnsiTheme="majorHAnsi" w:cstheme="majorHAnsi"/>
                <w:sz w:val="20"/>
                <w:szCs w:val="20"/>
              </w:rPr>
              <w:t xml:space="preserve">piesaista </w:t>
            </w:r>
            <w:r>
              <w:rPr>
                <w:rFonts w:asciiTheme="majorHAnsi" w:hAnsiTheme="majorHAnsi" w:cstheme="majorHAnsi"/>
                <w:sz w:val="20"/>
                <w:szCs w:val="20"/>
              </w:rPr>
              <w:t>galveno dabas parka un restorāna apmeklētāju plūsmu</w:t>
            </w:r>
            <w:r w:rsidR="00DF2A38" w:rsidRPr="00F00A7E">
              <w:rPr>
                <w:rFonts w:asciiTheme="majorHAnsi" w:hAnsiTheme="majorHAnsi" w:cstheme="majorHAnsi"/>
                <w:sz w:val="20"/>
                <w:szCs w:val="20"/>
              </w:rPr>
              <w:t>, no kuriem v</w:t>
            </w:r>
            <w:r w:rsidR="00701024">
              <w:rPr>
                <w:rFonts w:asciiTheme="majorHAnsi" w:hAnsiTheme="majorHAnsi" w:cstheme="majorHAnsi"/>
                <w:sz w:val="20"/>
                <w:szCs w:val="20"/>
              </w:rPr>
              <w:t>airums pārvietojas ar automašīnām</w:t>
            </w:r>
            <w:r w:rsidR="00DF2A38" w:rsidRPr="00F00A7E">
              <w:rPr>
                <w:rFonts w:asciiTheme="majorHAnsi" w:hAnsiTheme="majorHAnsi" w:cstheme="majorHAnsi"/>
                <w:sz w:val="20"/>
                <w:szCs w:val="20"/>
              </w:rPr>
              <w:t xml:space="preserve">, </w:t>
            </w:r>
            <w:r w:rsidR="00D253A6">
              <w:rPr>
                <w:rFonts w:asciiTheme="majorHAnsi" w:hAnsiTheme="majorHAnsi" w:cstheme="majorHAnsi"/>
                <w:sz w:val="20"/>
                <w:szCs w:val="20"/>
              </w:rPr>
              <w:t>kas īpaši</w:t>
            </w:r>
            <w:r w:rsidR="00DF2A38" w:rsidRPr="00F00A7E">
              <w:rPr>
                <w:rFonts w:asciiTheme="majorHAnsi" w:hAnsiTheme="majorHAnsi" w:cstheme="majorHAnsi"/>
                <w:sz w:val="20"/>
                <w:szCs w:val="20"/>
              </w:rPr>
              <w:t xml:space="preserve"> sezonas laikā</w:t>
            </w:r>
            <w:r w:rsidR="00701024">
              <w:rPr>
                <w:rFonts w:asciiTheme="majorHAnsi" w:hAnsiTheme="majorHAnsi" w:cstheme="majorHAnsi"/>
                <w:sz w:val="20"/>
                <w:szCs w:val="20"/>
              </w:rPr>
              <w:t>,</w:t>
            </w:r>
            <w:r w:rsidR="00DF2A38" w:rsidRPr="00F00A7E">
              <w:rPr>
                <w:rFonts w:asciiTheme="majorHAnsi" w:hAnsiTheme="majorHAnsi" w:cstheme="majorHAnsi"/>
                <w:sz w:val="20"/>
                <w:szCs w:val="20"/>
              </w:rPr>
              <w:t xml:space="preserve"> </w:t>
            </w:r>
            <w:r>
              <w:rPr>
                <w:rFonts w:asciiTheme="majorHAnsi" w:hAnsiTheme="majorHAnsi" w:cstheme="majorHAnsi"/>
                <w:sz w:val="20"/>
                <w:szCs w:val="20"/>
              </w:rPr>
              <w:t>rada pārmērīgu antropogēno slodzi</w:t>
            </w:r>
            <w:r w:rsidR="00DF2A38" w:rsidRPr="00F00A7E">
              <w:rPr>
                <w:rFonts w:asciiTheme="majorHAnsi" w:hAnsiTheme="majorHAnsi" w:cstheme="majorHAnsi"/>
                <w:sz w:val="20"/>
                <w:szCs w:val="20"/>
              </w:rPr>
              <w:t>.</w:t>
            </w:r>
            <w:r>
              <w:rPr>
                <w:rFonts w:asciiTheme="majorHAnsi" w:hAnsiTheme="majorHAnsi" w:cstheme="majorHAnsi"/>
                <w:sz w:val="20"/>
                <w:szCs w:val="20"/>
              </w:rPr>
              <w:t xml:space="preserve"> Nepieciešams novirzīt pārmērīgo apmeklētāju slodzi uz citām dabas parka ieejām, kā </w:t>
            </w:r>
            <w:r w:rsidR="00EF77E4">
              <w:rPr>
                <w:rFonts w:asciiTheme="majorHAnsi" w:hAnsiTheme="majorHAnsi" w:cstheme="majorHAnsi"/>
                <w:sz w:val="20"/>
                <w:szCs w:val="20"/>
              </w:rPr>
              <w:t>arī citām pludmales daļām ārpus dabas parka teritorijas.</w:t>
            </w:r>
          </w:p>
          <w:p w:rsidR="006C3F7E" w:rsidRPr="00F00A7E" w:rsidRDefault="00DF2A38" w:rsidP="00701024">
            <w:pPr>
              <w:jc w:val="both"/>
              <w:rPr>
                <w:rFonts w:asciiTheme="majorHAnsi" w:hAnsiTheme="majorHAnsi" w:cstheme="majorHAnsi"/>
                <w:sz w:val="20"/>
                <w:szCs w:val="20"/>
              </w:rPr>
            </w:pPr>
            <w:r w:rsidRPr="00F00A7E">
              <w:rPr>
                <w:rFonts w:asciiTheme="majorHAnsi" w:hAnsiTheme="majorHAnsi" w:cstheme="majorHAnsi"/>
                <w:sz w:val="20"/>
                <w:szCs w:val="20"/>
              </w:rPr>
              <w:t xml:space="preserve">Tuvākais informācijas punkts atrodas </w:t>
            </w:r>
            <w:proofErr w:type="spellStart"/>
            <w:r w:rsidRPr="00F00A7E">
              <w:rPr>
                <w:rFonts w:asciiTheme="majorHAnsi" w:hAnsiTheme="majorHAnsi" w:cstheme="majorHAnsi"/>
                <w:sz w:val="20"/>
                <w:szCs w:val="20"/>
              </w:rPr>
              <w:t>Bražuciemā</w:t>
            </w:r>
            <w:proofErr w:type="spellEnd"/>
            <w:r w:rsidRPr="00F00A7E">
              <w:rPr>
                <w:rFonts w:asciiTheme="majorHAnsi" w:hAnsiTheme="majorHAnsi" w:cstheme="majorHAnsi"/>
                <w:sz w:val="20"/>
                <w:szCs w:val="20"/>
              </w:rPr>
              <w:t xml:space="preserve">, ārpus </w:t>
            </w:r>
            <w:r w:rsidR="00701024">
              <w:rPr>
                <w:rFonts w:asciiTheme="majorHAnsi" w:hAnsiTheme="majorHAnsi" w:cstheme="majorHAnsi"/>
                <w:sz w:val="20"/>
                <w:szCs w:val="20"/>
              </w:rPr>
              <w:t>dabas parka</w:t>
            </w:r>
            <w:r w:rsidRPr="00F00A7E">
              <w:rPr>
                <w:rFonts w:asciiTheme="majorHAnsi" w:hAnsiTheme="majorHAnsi" w:cstheme="majorHAnsi"/>
                <w:sz w:val="20"/>
                <w:szCs w:val="20"/>
              </w:rPr>
              <w:t xml:space="preserve"> teritorijas. Brīvdabas muzejs, kas lieliski varētu kalpot par atbalsta punktu, netiek izmantots šādam mērķim (nav ne saturīgu bukletu, ne pietiekams </w:t>
            </w:r>
            <w:proofErr w:type="spellStart"/>
            <w:r w:rsidRPr="00F00A7E">
              <w:rPr>
                <w:rFonts w:asciiTheme="majorHAnsi" w:hAnsiTheme="majorHAnsi" w:cstheme="majorHAnsi"/>
                <w:sz w:val="20"/>
                <w:szCs w:val="20"/>
              </w:rPr>
              <w:t>cilvēkresurss</w:t>
            </w:r>
            <w:proofErr w:type="spellEnd"/>
            <w:r w:rsidRPr="00F00A7E">
              <w:rPr>
                <w:rFonts w:asciiTheme="majorHAnsi" w:hAnsiTheme="majorHAnsi" w:cstheme="majorHAnsi"/>
                <w:sz w:val="20"/>
                <w:szCs w:val="20"/>
              </w:rPr>
              <w:t>, lai veiktu kvalitatīvu informatīvo darbu un/vai apmeklētāju uzskaiti)/</w:t>
            </w:r>
          </w:p>
        </w:tc>
      </w:tr>
      <w:tr w:rsidR="006C3F7E" w:rsidRPr="00F00A7E" w:rsidTr="00F00A7E">
        <w:tc>
          <w:tcPr>
            <w:tcW w:w="541"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lastRenderedPageBreak/>
              <w:t>A5</w:t>
            </w:r>
          </w:p>
        </w:tc>
        <w:tc>
          <w:tcPr>
            <w:tcW w:w="1842" w:type="dxa"/>
          </w:tcPr>
          <w:p w:rsidR="006C3F7E" w:rsidRPr="00F00A7E" w:rsidRDefault="00DF2A38">
            <w:pPr>
              <w:pBdr>
                <w:top w:val="nil"/>
                <w:left w:val="nil"/>
                <w:bottom w:val="nil"/>
                <w:right w:val="nil"/>
                <w:between w:val="nil"/>
              </w:pBdr>
              <w:spacing w:after="0"/>
              <w:jc w:val="both"/>
              <w:rPr>
                <w:rFonts w:asciiTheme="majorHAnsi" w:eastAsia="Arial Narrow" w:hAnsiTheme="majorHAnsi" w:cstheme="majorHAnsi"/>
                <w:color w:val="000000"/>
                <w:sz w:val="20"/>
                <w:szCs w:val="20"/>
              </w:rPr>
            </w:pPr>
            <w:r w:rsidRPr="00F00A7E">
              <w:rPr>
                <w:rFonts w:asciiTheme="majorHAnsi" w:eastAsia="Arial Narrow" w:hAnsiTheme="majorHAnsi" w:cstheme="majorHAnsi"/>
                <w:color w:val="000000"/>
                <w:sz w:val="20"/>
                <w:szCs w:val="20"/>
              </w:rPr>
              <w:t>Sadzīves atkritumu izvākšana</w:t>
            </w:r>
          </w:p>
        </w:tc>
        <w:tc>
          <w:tcPr>
            <w:tcW w:w="993"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JPD</w:t>
            </w:r>
          </w:p>
        </w:tc>
        <w:tc>
          <w:tcPr>
            <w:tcW w:w="2693"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Pludmales zonā atkritumu konteineri izvietoti regulāri.</w:t>
            </w:r>
          </w:p>
          <w:p w:rsidR="006374C8"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 xml:space="preserve">Vietās, kur pieejamas atkritumu tvertnes, vairumā gadījumu tās tiek </w:t>
            </w:r>
            <w:r w:rsidR="00701024">
              <w:rPr>
                <w:rFonts w:asciiTheme="majorHAnsi" w:hAnsiTheme="majorHAnsi" w:cstheme="majorHAnsi"/>
                <w:sz w:val="20"/>
                <w:szCs w:val="20"/>
              </w:rPr>
              <w:t>apsaimniekotas</w:t>
            </w:r>
            <w:r w:rsidRPr="00F00A7E">
              <w:rPr>
                <w:rFonts w:asciiTheme="majorHAnsi" w:hAnsiTheme="majorHAnsi" w:cstheme="majorHAnsi"/>
                <w:sz w:val="20"/>
                <w:szCs w:val="20"/>
              </w:rPr>
              <w:t xml:space="preserve"> regulāri. </w:t>
            </w:r>
          </w:p>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DAP Ragakā</w:t>
            </w:r>
            <w:r w:rsidR="006374C8">
              <w:rPr>
                <w:rFonts w:asciiTheme="majorHAnsi" w:hAnsiTheme="majorHAnsi" w:cstheme="majorHAnsi"/>
                <w:sz w:val="20"/>
                <w:szCs w:val="20"/>
              </w:rPr>
              <w:t>pas dabas takā atkritumu tvertnes netiek izvietotas.</w:t>
            </w:r>
          </w:p>
          <w:p w:rsidR="006C3F7E" w:rsidRPr="00F00A7E" w:rsidRDefault="006374C8" w:rsidP="00701024">
            <w:pPr>
              <w:jc w:val="both"/>
              <w:rPr>
                <w:rFonts w:asciiTheme="majorHAnsi" w:hAnsiTheme="majorHAnsi" w:cstheme="majorHAnsi"/>
                <w:sz w:val="20"/>
                <w:szCs w:val="20"/>
              </w:rPr>
            </w:pPr>
            <w:r>
              <w:rPr>
                <w:rFonts w:asciiTheme="majorHAnsi" w:hAnsiTheme="majorHAnsi" w:cstheme="majorHAnsi"/>
                <w:sz w:val="20"/>
                <w:szCs w:val="20"/>
              </w:rPr>
              <w:t xml:space="preserve">LVM </w:t>
            </w:r>
            <w:r w:rsidR="00DF2A38" w:rsidRPr="00F00A7E">
              <w:rPr>
                <w:rFonts w:asciiTheme="majorHAnsi" w:hAnsiTheme="majorHAnsi" w:cstheme="majorHAnsi"/>
                <w:sz w:val="20"/>
                <w:szCs w:val="20"/>
              </w:rPr>
              <w:t>dabas takā atkritumu tvertnes izvietotas un iztukšotas regulāri, sezonas laikā – biežāk, pielāgojoties apmeklētāju plūsmas intensitātei.</w:t>
            </w:r>
          </w:p>
        </w:tc>
        <w:tc>
          <w:tcPr>
            <w:tcW w:w="3685"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 xml:space="preserve">Apsekojot dabas parku tūrisma sezonas laikā, konstatēts, ka atkritumu izvākšana tiek organizēta ļoti optimāli. Dabas parka teritorijā reti kur manāmi </w:t>
            </w:r>
            <w:r w:rsidR="00701024">
              <w:rPr>
                <w:rFonts w:asciiTheme="majorHAnsi" w:hAnsiTheme="majorHAnsi" w:cstheme="majorHAnsi"/>
                <w:sz w:val="20"/>
                <w:szCs w:val="20"/>
              </w:rPr>
              <w:t>nomesti sadzīves atkr</w:t>
            </w:r>
            <w:r w:rsidRPr="00F00A7E">
              <w:rPr>
                <w:rFonts w:asciiTheme="majorHAnsi" w:hAnsiTheme="majorHAnsi" w:cstheme="majorHAnsi"/>
                <w:sz w:val="20"/>
                <w:szCs w:val="20"/>
              </w:rPr>
              <w:t>i</w:t>
            </w:r>
            <w:r w:rsidR="00701024">
              <w:rPr>
                <w:rFonts w:asciiTheme="majorHAnsi" w:hAnsiTheme="majorHAnsi" w:cstheme="majorHAnsi"/>
                <w:sz w:val="20"/>
                <w:szCs w:val="20"/>
              </w:rPr>
              <w:t>tumi</w:t>
            </w:r>
            <w:r w:rsidRPr="00F00A7E">
              <w:rPr>
                <w:rFonts w:asciiTheme="majorHAnsi" w:hAnsiTheme="majorHAnsi" w:cstheme="majorHAnsi"/>
                <w:sz w:val="20"/>
                <w:szCs w:val="20"/>
              </w:rPr>
              <w:t xml:space="preserve">. Arī pludmales daļā atkritumi manāmi nebija. Būtu jāapsver viena vai vairāku konteineru izvietošana </w:t>
            </w:r>
            <w:r w:rsidR="00444E30">
              <w:rPr>
                <w:rFonts w:asciiTheme="majorHAnsi" w:hAnsiTheme="majorHAnsi" w:cstheme="majorHAnsi"/>
                <w:sz w:val="20"/>
                <w:szCs w:val="20"/>
              </w:rPr>
              <w:t xml:space="preserve">dabas parka austrumu daļā – pludmalē pie </w:t>
            </w:r>
            <w:r w:rsidRPr="00F00A7E">
              <w:rPr>
                <w:rFonts w:asciiTheme="majorHAnsi" w:hAnsiTheme="majorHAnsi" w:cstheme="majorHAnsi"/>
                <w:sz w:val="20"/>
                <w:szCs w:val="20"/>
              </w:rPr>
              <w:t xml:space="preserve">nūdistu pludmales. </w:t>
            </w:r>
          </w:p>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Piegružojums var potenciāli rasties DAP dabas takā, jo visas takas garumā nav nevienas atkritumu urnas. Ja netiek izliktas atkritumu urnas, jāizvieto zīmes “Ko ienesi, to iznes” un norāde uz tuvāko atkritumu urnu DP piegulošajā teritorijā.</w:t>
            </w:r>
          </w:p>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 xml:space="preserve">Apsaimniekošanas efektivitāte ir pietiekama, aktīvās sezonas laikā būtu vēl jāpastiprina </w:t>
            </w:r>
            <w:r w:rsidR="00444E30">
              <w:rPr>
                <w:rFonts w:asciiTheme="majorHAnsi" w:hAnsiTheme="majorHAnsi" w:cstheme="majorHAnsi"/>
                <w:sz w:val="20"/>
                <w:szCs w:val="20"/>
              </w:rPr>
              <w:t xml:space="preserve">sadzīves </w:t>
            </w:r>
            <w:r w:rsidRPr="00F00A7E">
              <w:rPr>
                <w:rFonts w:asciiTheme="majorHAnsi" w:hAnsiTheme="majorHAnsi" w:cstheme="majorHAnsi"/>
                <w:sz w:val="20"/>
                <w:szCs w:val="20"/>
              </w:rPr>
              <w:t>atkritumu tvertņu izvešanas biežums.</w:t>
            </w:r>
          </w:p>
        </w:tc>
      </w:tr>
      <w:tr w:rsidR="006C3F7E" w:rsidRPr="00F00A7E" w:rsidTr="00F00A7E">
        <w:tc>
          <w:tcPr>
            <w:tcW w:w="541"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A6</w:t>
            </w:r>
          </w:p>
        </w:tc>
        <w:tc>
          <w:tcPr>
            <w:tcW w:w="1842" w:type="dxa"/>
          </w:tcPr>
          <w:p w:rsidR="006C3F7E" w:rsidRPr="00F00A7E" w:rsidRDefault="00DF2A38">
            <w:pPr>
              <w:pBdr>
                <w:top w:val="nil"/>
                <w:left w:val="nil"/>
                <w:bottom w:val="nil"/>
                <w:right w:val="nil"/>
                <w:between w:val="nil"/>
              </w:pBdr>
              <w:spacing w:after="0"/>
              <w:jc w:val="both"/>
              <w:rPr>
                <w:rFonts w:asciiTheme="majorHAnsi" w:eastAsia="Arial Narrow" w:hAnsiTheme="majorHAnsi" w:cstheme="majorHAnsi"/>
                <w:color w:val="000000"/>
                <w:sz w:val="20"/>
                <w:szCs w:val="20"/>
              </w:rPr>
            </w:pPr>
            <w:r w:rsidRPr="00F00A7E">
              <w:rPr>
                <w:rFonts w:asciiTheme="majorHAnsi" w:eastAsia="Arial Narrow" w:hAnsiTheme="majorHAnsi" w:cstheme="majorHAnsi"/>
                <w:color w:val="000000"/>
                <w:sz w:val="20"/>
                <w:szCs w:val="20"/>
              </w:rPr>
              <w:t>Ģērbtuvju un vasaras nojumju izveide pludmalē</w:t>
            </w:r>
          </w:p>
        </w:tc>
        <w:tc>
          <w:tcPr>
            <w:tcW w:w="993"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JPD</w:t>
            </w:r>
          </w:p>
        </w:tc>
        <w:tc>
          <w:tcPr>
            <w:tcW w:w="2693"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Ģērbtuves dabas parka teritorijas pludmales daļā ir izvietotas regulāri.</w:t>
            </w:r>
          </w:p>
          <w:p w:rsidR="006C3F7E" w:rsidRPr="00F00A7E" w:rsidRDefault="006C3F7E">
            <w:pPr>
              <w:jc w:val="both"/>
              <w:rPr>
                <w:rFonts w:asciiTheme="majorHAnsi" w:hAnsiTheme="majorHAnsi" w:cstheme="majorHAnsi"/>
                <w:sz w:val="20"/>
                <w:szCs w:val="20"/>
              </w:rPr>
            </w:pPr>
          </w:p>
          <w:p w:rsidR="006C3F7E" w:rsidRPr="00F00A7E" w:rsidRDefault="006C3F7E">
            <w:pPr>
              <w:jc w:val="both"/>
              <w:rPr>
                <w:rFonts w:asciiTheme="majorHAnsi" w:hAnsiTheme="majorHAnsi" w:cstheme="majorHAnsi"/>
                <w:sz w:val="20"/>
                <w:szCs w:val="20"/>
              </w:rPr>
            </w:pPr>
          </w:p>
          <w:p w:rsidR="006C3F7E" w:rsidRPr="00F00A7E" w:rsidRDefault="006C3F7E">
            <w:pPr>
              <w:jc w:val="both"/>
              <w:rPr>
                <w:rFonts w:asciiTheme="majorHAnsi" w:hAnsiTheme="majorHAnsi" w:cstheme="majorHAnsi"/>
                <w:sz w:val="20"/>
                <w:szCs w:val="20"/>
              </w:rPr>
            </w:pPr>
          </w:p>
          <w:p w:rsidR="006C3F7E" w:rsidRPr="00F00A7E" w:rsidRDefault="006C3F7E">
            <w:pPr>
              <w:jc w:val="both"/>
              <w:rPr>
                <w:rFonts w:asciiTheme="majorHAnsi" w:hAnsiTheme="majorHAnsi" w:cstheme="majorHAnsi"/>
                <w:sz w:val="20"/>
                <w:szCs w:val="20"/>
              </w:rPr>
            </w:pPr>
          </w:p>
          <w:p w:rsidR="006C3F7E" w:rsidRPr="00F00A7E" w:rsidRDefault="006C3F7E">
            <w:pPr>
              <w:jc w:val="both"/>
              <w:rPr>
                <w:rFonts w:asciiTheme="majorHAnsi" w:hAnsiTheme="majorHAnsi" w:cstheme="majorHAnsi"/>
                <w:sz w:val="20"/>
                <w:szCs w:val="20"/>
              </w:rPr>
            </w:pPr>
          </w:p>
          <w:p w:rsidR="006C3F7E" w:rsidRPr="00F00A7E" w:rsidRDefault="00DF2A38" w:rsidP="00160B51">
            <w:pPr>
              <w:jc w:val="both"/>
              <w:rPr>
                <w:rFonts w:asciiTheme="majorHAnsi" w:hAnsiTheme="majorHAnsi" w:cstheme="majorHAnsi"/>
                <w:sz w:val="20"/>
                <w:szCs w:val="20"/>
              </w:rPr>
            </w:pPr>
            <w:r w:rsidRPr="00F00A7E">
              <w:rPr>
                <w:rFonts w:asciiTheme="majorHAnsi" w:hAnsiTheme="majorHAnsi" w:cstheme="majorHAnsi"/>
                <w:sz w:val="20"/>
                <w:szCs w:val="20"/>
              </w:rPr>
              <w:t xml:space="preserve">Teritorijā nav </w:t>
            </w:r>
            <w:r w:rsidR="00160B51">
              <w:rPr>
                <w:rFonts w:asciiTheme="majorHAnsi" w:hAnsiTheme="majorHAnsi" w:cstheme="majorHAnsi"/>
                <w:sz w:val="20"/>
                <w:szCs w:val="20"/>
              </w:rPr>
              <w:t>izvietotas publiski pieejamas</w:t>
            </w:r>
            <w:r w:rsidRPr="00F00A7E">
              <w:rPr>
                <w:rFonts w:asciiTheme="majorHAnsi" w:hAnsiTheme="majorHAnsi" w:cstheme="majorHAnsi"/>
                <w:sz w:val="20"/>
                <w:szCs w:val="20"/>
              </w:rPr>
              <w:t xml:space="preserve"> vasaras nojumes.</w:t>
            </w:r>
          </w:p>
        </w:tc>
        <w:tc>
          <w:tcPr>
            <w:tcW w:w="3685"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lastRenderedPageBreak/>
              <w:t xml:space="preserve">Teicams ģērbtuvju izvietojums pludmales teritorijā. Tūrisma sezonas laikā ģērbtuves ir labi apmeklētas un teritorijas apmeklētāji atzinīgi novērtē šo JPD iniciatīvu. Būtu ieteicams ģērbtuvēm </w:t>
            </w:r>
            <w:r w:rsidR="00160B51">
              <w:rPr>
                <w:rFonts w:asciiTheme="majorHAnsi" w:hAnsiTheme="majorHAnsi" w:cstheme="majorHAnsi"/>
                <w:sz w:val="20"/>
                <w:szCs w:val="20"/>
              </w:rPr>
              <w:t>saglabāt</w:t>
            </w:r>
            <w:r w:rsidRPr="00F00A7E">
              <w:rPr>
                <w:rFonts w:asciiTheme="majorHAnsi" w:hAnsiTheme="majorHAnsi" w:cstheme="majorHAnsi"/>
                <w:sz w:val="20"/>
                <w:szCs w:val="20"/>
              </w:rPr>
              <w:t xml:space="preserve"> numerāciju, sākot ar ģērbtuvi, kas atrodas vistuvā</w:t>
            </w:r>
            <w:r w:rsidR="00701024">
              <w:rPr>
                <w:rFonts w:asciiTheme="majorHAnsi" w:hAnsiTheme="majorHAnsi" w:cstheme="majorHAnsi"/>
                <w:sz w:val="20"/>
                <w:szCs w:val="20"/>
              </w:rPr>
              <w:t>k Lielupes grīvai un secīgi numur</w:t>
            </w:r>
            <w:r w:rsidR="00701024" w:rsidRPr="00F00A7E">
              <w:rPr>
                <w:rFonts w:asciiTheme="majorHAnsi" w:hAnsiTheme="majorHAnsi" w:cstheme="majorHAnsi"/>
                <w:sz w:val="20"/>
                <w:szCs w:val="20"/>
              </w:rPr>
              <w:t>ējot</w:t>
            </w:r>
            <w:r w:rsidRPr="00F00A7E">
              <w:rPr>
                <w:rFonts w:asciiTheme="majorHAnsi" w:hAnsiTheme="majorHAnsi" w:cstheme="majorHAnsi"/>
                <w:sz w:val="20"/>
                <w:szCs w:val="20"/>
              </w:rPr>
              <w:t xml:space="preserve"> tās visā Jūrmalas pilsētas garumā esošajā labiekārtotās pludmales </w:t>
            </w:r>
            <w:r w:rsidRPr="00F00A7E">
              <w:rPr>
                <w:rFonts w:asciiTheme="majorHAnsi" w:hAnsiTheme="majorHAnsi" w:cstheme="majorHAnsi"/>
                <w:sz w:val="20"/>
                <w:szCs w:val="20"/>
              </w:rPr>
              <w:lastRenderedPageBreak/>
              <w:t>daļā. Tādejādi ģērbtuves kalpotu arī kā orientie</w:t>
            </w:r>
            <w:r w:rsidR="00701024">
              <w:rPr>
                <w:rFonts w:asciiTheme="majorHAnsi" w:hAnsiTheme="majorHAnsi" w:cstheme="majorHAnsi"/>
                <w:sz w:val="20"/>
                <w:szCs w:val="20"/>
              </w:rPr>
              <w:t>ris pludmalē tās apmeklētājiem.</w:t>
            </w:r>
          </w:p>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Vasaras noju</w:t>
            </w:r>
            <w:r w:rsidR="00CD6145">
              <w:rPr>
                <w:rFonts w:asciiTheme="majorHAnsi" w:hAnsiTheme="majorHAnsi" w:cstheme="majorHAnsi"/>
                <w:sz w:val="20"/>
                <w:szCs w:val="20"/>
              </w:rPr>
              <w:t xml:space="preserve">mju izveide nav nepieciešama - </w:t>
            </w:r>
            <w:r w:rsidRPr="00F00A7E">
              <w:rPr>
                <w:rFonts w:asciiTheme="majorHAnsi" w:hAnsiTheme="majorHAnsi" w:cstheme="majorHAnsi"/>
                <w:sz w:val="20"/>
                <w:szCs w:val="20"/>
              </w:rPr>
              <w:t>tas ir lieks slogs pludmales zonai un apmeklētāji, kuri vēlas patverties ēnā, rada to paši ar līdzi paņemtajiem saulessargiem. Te paveras niša arī vietējiem uzņēmējiem – šādi saulessargi var tikt nodoti īrē teritorijas apmeklētājiem.</w:t>
            </w:r>
          </w:p>
        </w:tc>
      </w:tr>
      <w:tr w:rsidR="006C3F7E" w:rsidRPr="00F00A7E" w:rsidTr="00F00A7E">
        <w:tc>
          <w:tcPr>
            <w:tcW w:w="541"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lastRenderedPageBreak/>
              <w:t>A7</w:t>
            </w:r>
          </w:p>
        </w:tc>
        <w:tc>
          <w:tcPr>
            <w:tcW w:w="1842" w:type="dxa"/>
          </w:tcPr>
          <w:p w:rsidR="006C3F7E" w:rsidRPr="00F00A7E" w:rsidRDefault="00DF2A38">
            <w:pPr>
              <w:pBdr>
                <w:top w:val="nil"/>
                <w:left w:val="nil"/>
                <w:bottom w:val="nil"/>
                <w:right w:val="nil"/>
                <w:between w:val="nil"/>
              </w:pBdr>
              <w:spacing w:after="0"/>
              <w:jc w:val="both"/>
              <w:rPr>
                <w:rFonts w:asciiTheme="majorHAnsi" w:eastAsia="Arial Narrow" w:hAnsiTheme="majorHAnsi" w:cstheme="majorHAnsi"/>
                <w:color w:val="000000"/>
                <w:sz w:val="20"/>
                <w:szCs w:val="20"/>
              </w:rPr>
            </w:pPr>
            <w:r w:rsidRPr="00F00A7E">
              <w:rPr>
                <w:rFonts w:asciiTheme="majorHAnsi" w:eastAsia="Arial Narrow" w:hAnsiTheme="majorHAnsi" w:cstheme="majorHAnsi"/>
                <w:color w:val="000000"/>
                <w:sz w:val="20"/>
                <w:szCs w:val="20"/>
              </w:rPr>
              <w:t>Skatu torņu būve</w:t>
            </w:r>
          </w:p>
        </w:tc>
        <w:tc>
          <w:tcPr>
            <w:tcW w:w="993" w:type="dxa"/>
          </w:tcPr>
          <w:p w:rsidR="006C3F7E" w:rsidRPr="00F00A7E" w:rsidRDefault="006C3F7E">
            <w:pPr>
              <w:jc w:val="both"/>
              <w:rPr>
                <w:rFonts w:asciiTheme="majorHAnsi" w:hAnsiTheme="majorHAnsi" w:cstheme="majorHAnsi"/>
                <w:sz w:val="20"/>
                <w:szCs w:val="20"/>
              </w:rPr>
            </w:pPr>
          </w:p>
        </w:tc>
        <w:tc>
          <w:tcPr>
            <w:tcW w:w="2693" w:type="dxa"/>
          </w:tcPr>
          <w:p w:rsidR="006C3F7E" w:rsidRPr="00F00A7E" w:rsidRDefault="00DF2A38" w:rsidP="00160B51">
            <w:pPr>
              <w:jc w:val="both"/>
              <w:rPr>
                <w:rFonts w:asciiTheme="majorHAnsi" w:hAnsiTheme="majorHAnsi" w:cstheme="majorHAnsi"/>
                <w:sz w:val="20"/>
                <w:szCs w:val="20"/>
              </w:rPr>
            </w:pPr>
            <w:proofErr w:type="spellStart"/>
            <w:r w:rsidRPr="00F00A7E">
              <w:rPr>
                <w:rFonts w:asciiTheme="majorHAnsi" w:hAnsiTheme="majorHAnsi" w:cstheme="majorHAnsi"/>
                <w:sz w:val="20"/>
                <w:szCs w:val="20"/>
              </w:rPr>
              <w:t>Buļļuciema</w:t>
            </w:r>
            <w:proofErr w:type="spellEnd"/>
            <w:r w:rsidRPr="00F00A7E">
              <w:rPr>
                <w:rFonts w:asciiTheme="majorHAnsi" w:hAnsiTheme="majorHAnsi" w:cstheme="majorHAnsi"/>
                <w:sz w:val="20"/>
                <w:szCs w:val="20"/>
              </w:rPr>
              <w:t xml:space="preserve"> bāka, kurā bija paredzēts izveidot skatu torni, </w:t>
            </w:r>
            <w:r w:rsidR="00160B51">
              <w:rPr>
                <w:rFonts w:asciiTheme="majorHAnsi" w:hAnsiTheme="majorHAnsi" w:cstheme="majorHAnsi"/>
                <w:sz w:val="20"/>
                <w:szCs w:val="20"/>
              </w:rPr>
              <w:t>tiek izmantota</w:t>
            </w:r>
            <w:r w:rsidRPr="00F00A7E">
              <w:rPr>
                <w:rFonts w:asciiTheme="majorHAnsi" w:hAnsiTheme="majorHAnsi" w:cstheme="majorHAnsi"/>
                <w:sz w:val="20"/>
                <w:szCs w:val="20"/>
              </w:rPr>
              <w:t xml:space="preserve"> kā mobilo sakaru bāzes stacija un pilda arī bākas pamatfunkcijas. Skatu tornis </w:t>
            </w:r>
            <w:r w:rsidR="00160B51">
              <w:rPr>
                <w:rFonts w:asciiTheme="majorHAnsi" w:hAnsiTheme="majorHAnsi" w:cstheme="majorHAnsi"/>
                <w:sz w:val="20"/>
                <w:szCs w:val="20"/>
              </w:rPr>
              <w:t xml:space="preserve">dabas parka teritorijā </w:t>
            </w:r>
            <w:r w:rsidRPr="00F00A7E">
              <w:rPr>
                <w:rFonts w:asciiTheme="majorHAnsi" w:hAnsiTheme="majorHAnsi" w:cstheme="majorHAnsi"/>
                <w:sz w:val="20"/>
                <w:szCs w:val="20"/>
              </w:rPr>
              <w:t>nav izv</w:t>
            </w:r>
            <w:r w:rsidR="00160B51">
              <w:rPr>
                <w:rFonts w:asciiTheme="majorHAnsi" w:hAnsiTheme="majorHAnsi" w:cstheme="majorHAnsi"/>
                <w:sz w:val="20"/>
                <w:szCs w:val="20"/>
              </w:rPr>
              <w:t>iet</w:t>
            </w:r>
            <w:r w:rsidRPr="00F00A7E">
              <w:rPr>
                <w:rFonts w:asciiTheme="majorHAnsi" w:hAnsiTheme="majorHAnsi" w:cstheme="majorHAnsi"/>
                <w:sz w:val="20"/>
                <w:szCs w:val="20"/>
              </w:rPr>
              <w:t>ots.</w:t>
            </w:r>
          </w:p>
        </w:tc>
        <w:tc>
          <w:tcPr>
            <w:tcW w:w="3685" w:type="dxa"/>
          </w:tcPr>
          <w:p w:rsidR="006C3F7E" w:rsidRPr="00F00A7E" w:rsidRDefault="00DF2A38" w:rsidP="00160B51">
            <w:pPr>
              <w:jc w:val="both"/>
              <w:rPr>
                <w:rFonts w:asciiTheme="majorHAnsi" w:hAnsiTheme="majorHAnsi" w:cstheme="majorHAnsi"/>
                <w:sz w:val="20"/>
                <w:szCs w:val="20"/>
              </w:rPr>
            </w:pPr>
            <w:r w:rsidRPr="00F00A7E">
              <w:rPr>
                <w:rFonts w:asciiTheme="majorHAnsi" w:hAnsiTheme="majorHAnsi" w:cstheme="majorHAnsi"/>
                <w:sz w:val="20"/>
                <w:szCs w:val="20"/>
              </w:rPr>
              <w:t xml:space="preserve">Ņemot vērā šī brīža dabas parka apmeklētāju dinamiku (dabas parka/pludmales zonas apmeklētāju apjoms), vajadzība pēc skatu torņa </w:t>
            </w:r>
            <w:r w:rsidR="00160B51">
              <w:rPr>
                <w:rFonts w:asciiTheme="majorHAnsi" w:hAnsiTheme="majorHAnsi" w:cstheme="majorHAnsi"/>
                <w:sz w:val="20"/>
                <w:szCs w:val="20"/>
              </w:rPr>
              <w:t>nav aktuāla, kā arī tornis ir izvietots netālu esošajā</w:t>
            </w:r>
            <w:r w:rsidRPr="00F00A7E">
              <w:rPr>
                <w:rFonts w:asciiTheme="majorHAnsi" w:hAnsiTheme="majorHAnsi" w:cstheme="majorHAnsi"/>
                <w:sz w:val="20"/>
                <w:szCs w:val="20"/>
              </w:rPr>
              <w:t xml:space="preserve"> </w:t>
            </w:r>
            <w:r w:rsidR="00160B51">
              <w:rPr>
                <w:rFonts w:asciiTheme="majorHAnsi" w:hAnsiTheme="majorHAnsi" w:cstheme="majorHAnsi"/>
                <w:sz w:val="20"/>
                <w:szCs w:val="20"/>
              </w:rPr>
              <w:t>Mežaparkā.</w:t>
            </w:r>
          </w:p>
        </w:tc>
      </w:tr>
      <w:tr w:rsidR="006C3F7E" w:rsidRPr="00F00A7E" w:rsidTr="00F00A7E">
        <w:tc>
          <w:tcPr>
            <w:tcW w:w="541"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A8</w:t>
            </w:r>
          </w:p>
        </w:tc>
        <w:tc>
          <w:tcPr>
            <w:tcW w:w="1842" w:type="dxa"/>
          </w:tcPr>
          <w:p w:rsidR="006C3F7E" w:rsidRPr="00F00A7E" w:rsidRDefault="00DF2A38">
            <w:pPr>
              <w:pBdr>
                <w:top w:val="nil"/>
                <w:left w:val="nil"/>
                <w:bottom w:val="nil"/>
                <w:right w:val="nil"/>
                <w:between w:val="nil"/>
              </w:pBdr>
              <w:spacing w:after="0"/>
              <w:jc w:val="both"/>
              <w:rPr>
                <w:rFonts w:asciiTheme="majorHAnsi" w:eastAsia="Arial Narrow" w:hAnsiTheme="majorHAnsi" w:cstheme="majorHAnsi"/>
                <w:color w:val="000000"/>
                <w:sz w:val="20"/>
                <w:szCs w:val="20"/>
              </w:rPr>
            </w:pPr>
            <w:r w:rsidRPr="00F00A7E">
              <w:rPr>
                <w:rFonts w:asciiTheme="majorHAnsi" w:eastAsia="Arial Narrow" w:hAnsiTheme="majorHAnsi" w:cstheme="majorHAnsi"/>
                <w:color w:val="000000"/>
                <w:sz w:val="20"/>
                <w:szCs w:val="20"/>
              </w:rPr>
              <w:t>Ugunskura vietu izveide un apsaimniekošana</w:t>
            </w:r>
          </w:p>
        </w:tc>
        <w:tc>
          <w:tcPr>
            <w:tcW w:w="993"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JPD</w:t>
            </w:r>
          </w:p>
        </w:tc>
        <w:tc>
          <w:tcPr>
            <w:tcW w:w="2693" w:type="dxa"/>
          </w:tcPr>
          <w:p w:rsidR="006C3F7E" w:rsidRPr="00F00A7E" w:rsidRDefault="00DF2A38" w:rsidP="00CD6145">
            <w:pPr>
              <w:jc w:val="both"/>
              <w:rPr>
                <w:rFonts w:asciiTheme="majorHAnsi" w:hAnsiTheme="majorHAnsi" w:cstheme="majorHAnsi"/>
                <w:sz w:val="20"/>
                <w:szCs w:val="20"/>
              </w:rPr>
            </w:pPr>
            <w:r w:rsidRPr="00F00A7E">
              <w:rPr>
                <w:rFonts w:asciiTheme="majorHAnsi" w:hAnsiTheme="majorHAnsi" w:cstheme="majorHAnsi"/>
                <w:sz w:val="20"/>
                <w:szCs w:val="20"/>
              </w:rPr>
              <w:t xml:space="preserve">Šādas ugunskura vietas nav izveidotas. Apsekojot teritoriju fiksētas dažas </w:t>
            </w:r>
            <w:r w:rsidRPr="00CD6145">
              <w:rPr>
                <w:rFonts w:asciiTheme="majorHAnsi" w:hAnsiTheme="majorHAnsi" w:cstheme="majorHAnsi"/>
                <w:sz w:val="20"/>
                <w:szCs w:val="20"/>
              </w:rPr>
              <w:t xml:space="preserve">nelegāli izveidotas ugunskuru vietas </w:t>
            </w:r>
          </w:p>
        </w:tc>
        <w:tc>
          <w:tcPr>
            <w:tcW w:w="3685"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 xml:space="preserve">Ņemot vērā izteikti sausās vasaras un augsto riska pakāpi, ko rada atklāta uguns šādās teritorijās, ugunskura vietu izveide aktuālajā dabas plānā ir nepieļaujama. </w:t>
            </w:r>
          </w:p>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 xml:space="preserve">Nelegāli izveidotās </w:t>
            </w:r>
            <w:r w:rsidR="006374C8">
              <w:rPr>
                <w:rFonts w:asciiTheme="majorHAnsi" w:hAnsiTheme="majorHAnsi" w:cstheme="majorHAnsi"/>
                <w:sz w:val="20"/>
                <w:szCs w:val="20"/>
              </w:rPr>
              <w:t>ugunskuru vietas ir jālikvidē.</w:t>
            </w:r>
          </w:p>
        </w:tc>
      </w:tr>
      <w:tr w:rsidR="00CD6145" w:rsidRPr="00F00A7E" w:rsidTr="00384FCF">
        <w:tc>
          <w:tcPr>
            <w:tcW w:w="541" w:type="dxa"/>
          </w:tcPr>
          <w:p w:rsidR="00CD6145" w:rsidRPr="00F00A7E" w:rsidRDefault="00CD6145">
            <w:pPr>
              <w:jc w:val="both"/>
              <w:rPr>
                <w:rFonts w:asciiTheme="majorHAnsi" w:hAnsiTheme="majorHAnsi" w:cstheme="majorHAnsi"/>
                <w:sz w:val="20"/>
                <w:szCs w:val="20"/>
              </w:rPr>
            </w:pPr>
            <w:r w:rsidRPr="00F00A7E">
              <w:rPr>
                <w:rFonts w:asciiTheme="majorHAnsi" w:hAnsiTheme="majorHAnsi" w:cstheme="majorHAnsi"/>
                <w:sz w:val="20"/>
                <w:szCs w:val="20"/>
              </w:rPr>
              <w:t>D3</w:t>
            </w:r>
          </w:p>
        </w:tc>
        <w:tc>
          <w:tcPr>
            <w:tcW w:w="9213" w:type="dxa"/>
            <w:gridSpan w:val="4"/>
          </w:tcPr>
          <w:p w:rsidR="00CD6145" w:rsidRPr="00CD6145" w:rsidRDefault="00CD6145" w:rsidP="00CD6145">
            <w:pPr>
              <w:jc w:val="center"/>
              <w:rPr>
                <w:rFonts w:asciiTheme="majorHAnsi" w:hAnsiTheme="majorHAnsi" w:cstheme="majorHAnsi"/>
                <w:b/>
                <w:sz w:val="20"/>
                <w:szCs w:val="20"/>
              </w:rPr>
            </w:pPr>
            <w:r w:rsidRPr="00CD6145">
              <w:rPr>
                <w:rFonts w:asciiTheme="majorHAnsi" w:eastAsia="Arial Narrow" w:hAnsiTheme="majorHAnsi" w:cstheme="majorHAnsi"/>
                <w:b/>
                <w:color w:val="000000"/>
                <w:sz w:val="20"/>
                <w:szCs w:val="20"/>
              </w:rPr>
              <w:t>Sabiedrības informēšana</w:t>
            </w:r>
          </w:p>
        </w:tc>
      </w:tr>
      <w:tr w:rsidR="006C3F7E" w:rsidRPr="00F00A7E" w:rsidTr="00F00A7E">
        <w:tc>
          <w:tcPr>
            <w:tcW w:w="541" w:type="dxa"/>
          </w:tcPr>
          <w:p w:rsidR="006C3F7E" w:rsidRPr="00F00A7E" w:rsidRDefault="00DF2A38">
            <w:pPr>
              <w:jc w:val="both"/>
              <w:rPr>
                <w:rFonts w:asciiTheme="majorHAnsi" w:hAnsiTheme="majorHAnsi" w:cstheme="majorHAnsi"/>
                <w:sz w:val="20"/>
                <w:szCs w:val="20"/>
              </w:rPr>
            </w:pPr>
            <w:r w:rsidRPr="00F00A7E">
              <w:rPr>
                <w:rFonts w:asciiTheme="majorHAnsi" w:eastAsia="Arial Narrow" w:hAnsiTheme="majorHAnsi" w:cstheme="majorHAnsi"/>
                <w:i/>
                <w:sz w:val="20"/>
                <w:szCs w:val="20"/>
              </w:rPr>
              <w:t>D.3.1.</w:t>
            </w:r>
          </w:p>
        </w:tc>
        <w:tc>
          <w:tcPr>
            <w:tcW w:w="1842" w:type="dxa"/>
          </w:tcPr>
          <w:p w:rsidR="006C3F7E" w:rsidRPr="00F00A7E" w:rsidRDefault="00DF2A38">
            <w:pPr>
              <w:pBdr>
                <w:top w:val="nil"/>
                <w:left w:val="nil"/>
                <w:bottom w:val="nil"/>
                <w:right w:val="nil"/>
                <w:between w:val="nil"/>
              </w:pBdr>
              <w:spacing w:after="0"/>
              <w:jc w:val="both"/>
              <w:rPr>
                <w:rFonts w:asciiTheme="majorHAnsi" w:eastAsia="Arial Narrow" w:hAnsiTheme="majorHAnsi" w:cstheme="majorHAnsi"/>
                <w:color w:val="000000"/>
                <w:sz w:val="20"/>
                <w:szCs w:val="20"/>
              </w:rPr>
            </w:pPr>
            <w:r w:rsidRPr="00F00A7E">
              <w:rPr>
                <w:rFonts w:asciiTheme="majorHAnsi" w:eastAsia="Arial Narrow" w:hAnsiTheme="majorHAnsi" w:cstheme="majorHAnsi"/>
                <w:color w:val="000000"/>
                <w:sz w:val="20"/>
                <w:szCs w:val="20"/>
              </w:rPr>
              <w:t>Informatīva bukleta izdošana</w:t>
            </w:r>
          </w:p>
        </w:tc>
        <w:tc>
          <w:tcPr>
            <w:tcW w:w="993" w:type="dxa"/>
          </w:tcPr>
          <w:p w:rsidR="006C3F7E" w:rsidRPr="00F00A7E" w:rsidRDefault="006C3F7E">
            <w:pPr>
              <w:jc w:val="both"/>
              <w:rPr>
                <w:rFonts w:asciiTheme="majorHAnsi" w:hAnsiTheme="majorHAnsi" w:cstheme="majorHAnsi"/>
                <w:sz w:val="20"/>
                <w:szCs w:val="20"/>
              </w:rPr>
            </w:pPr>
          </w:p>
        </w:tc>
        <w:tc>
          <w:tcPr>
            <w:tcW w:w="2693"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Buklets nav izdots</w:t>
            </w:r>
          </w:p>
        </w:tc>
        <w:tc>
          <w:tcPr>
            <w:tcW w:w="3685"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Nelielam bukletam par dabas parku un tajā esošajām vērtībām, kā arī karti un atļauto/aizliegto darbību piktogrammām būtu jātiek izveidotam, un tas jānovieto gan Brīvdabas muzejā, gan 36.līnijā esošajās ēdināšanas iestādēs, gan Jūrmalas TIC un citos tuvumā esošajos TIC (Tukums, Rīga)</w:t>
            </w:r>
          </w:p>
        </w:tc>
      </w:tr>
      <w:tr w:rsidR="006C3F7E" w:rsidRPr="00F00A7E" w:rsidTr="00F00A7E">
        <w:tc>
          <w:tcPr>
            <w:tcW w:w="541" w:type="dxa"/>
          </w:tcPr>
          <w:p w:rsidR="006C3F7E" w:rsidRPr="00F00A7E" w:rsidRDefault="00DF2A38">
            <w:pPr>
              <w:jc w:val="both"/>
              <w:rPr>
                <w:rFonts w:asciiTheme="majorHAnsi" w:hAnsiTheme="majorHAnsi" w:cstheme="majorHAnsi"/>
                <w:sz w:val="20"/>
                <w:szCs w:val="20"/>
              </w:rPr>
            </w:pPr>
            <w:r w:rsidRPr="00F00A7E">
              <w:rPr>
                <w:rFonts w:asciiTheme="majorHAnsi" w:eastAsia="Arial Narrow" w:hAnsiTheme="majorHAnsi" w:cstheme="majorHAnsi"/>
                <w:i/>
                <w:sz w:val="20"/>
                <w:szCs w:val="20"/>
              </w:rPr>
              <w:t>D.3.2.</w:t>
            </w:r>
          </w:p>
        </w:tc>
        <w:tc>
          <w:tcPr>
            <w:tcW w:w="1842" w:type="dxa"/>
          </w:tcPr>
          <w:p w:rsidR="006C3F7E" w:rsidRPr="00F00A7E" w:rsidRDefault="00DF2A38">
            <w:pPr>
              <w:pBdr>
                <w:top w:val="nil"/>
                <w:left w:val="nil"/>
                <w:bottom w:val="nil"/>
                <w:right w:val="nil"/>
                <w:between w:val="nil"/>
              </w:pBdr>
              <w:spacing w:after="0"/>
              <w:jc w:val="both"/>
              <w:rPr>
                <w:rFonts w:asciiTheme="majorHAnsi" w:eastAsia="Arial Narrow" w:hAnsiTheme="majorHAnsi" w:cstheme="majorHAnsi"/>
                <w:color w:val="000000"/>
                <w:sz w:val="20"/>
                <w:szCs w:val="20"/>
              </w:rPr>
            </w:pPr>
            <w:r w:rsidRPr="00F00A7E">
              <w:rPr>
                <w:rFonts w:asciiTheme="majorHAnsi" w:eastAsia="Arial Narrow" w:hAnsiTheme="majorHAnsi" w:cstheme="majorHAnsi"/>
                <w:color w:val="000000"/>
                <w:sz w:val="20"/>
                <w:szCs w:val="20"/>
              </w:rPr>
              <w:t>Dabas aizsardzības plāna kopsavilkuma izdošana</w:t>
            </w:r>
          </w:p>
        </w:tc>
        <w:tc>
          <w:tcPr>
            <w:tcW w:w="993" w:type="dxa"/>
          </w:tcPr>
          <w:p w:rsidR="006C3F7E" w:rsidRPr="00F00A7E" w:rsidRDefault="006C3F7E">
            <w:pPr>
              <w:jc w:val="both"/>
              <w:rPr>
                <w:rFonts w:asciiTheme="majorHAnsi" w:hAnsiTheme="majorHAnsi" w:cstheme="majorHAnsi"/>
                <w:sz w:val="20"/>
                <w:szCs w:val="20"/>
              </w:rPr>
            </w:pPr>
          </w:p>
        </w:tc>
        <w:tc>
          <w:tcPr>
            <w:tcW w:w="2693" w:type="dxa"/>
          </w:tcPr>
          <w:p w:rsidR="006C3F7E" w:rsidRPr="00F00A7E" w:rsidRDefault="00CD6145">
            <w:pPr>
              <w:jc w:val="both"/>
              <w:rPr>
                <w:rFonts w:asciiTheme="majorHAnsi" w:hAnsiTheme="majorHAnsi" w:cstheme="majorHAnsi"/>
                <w:sz w:val="20"/>
                <w:szCs w:val="20"/>
              </w:rPr>
            </w:pPr>
            <w:r>
              <w:rPr>
                <w:rFonts w:asciiTheme="majorHAnsi" w:hAnsiTheme="majorHAnsi" w:cstheme="majorHAnsi"/>
                <w:sz w:val="20"/>
                <w:szCs w:val="20"/>
              </w:rPr>
              <w:t xml:space="preserve">Tika </w:t>
            </w:r>
            <w:r w:rsidR="00DF2A38" w:rsidRPr="00F00A7E">
              <w:rPr>
                <w:rFonts w:asciiTheme="majorHAnsi" w:hAnsiTheme="majorHAnsi" w:cstheme="majorHAnsi"/>
                <w:sz w:val="20"/>
                <w:szCs w:val="20"/>
              </w:rPr>
              <w:t>izdots</w:t>
            </w:r>
            <w:r w:rsidR="00F00A7E" w:rsidRPr="00F00A7E">
              <w:rPr>
                <w:rFonts w:asciiTheme="majorHAnsi" w:hAnsiTheme="majorHAnsi" w:cstheme="majorHAnsi"/>
                <w:sz w:val="20"/>
                <w:szCs w:val="20"/>
              </w:rPr>
              <w:t>(realizēts)</w:t>
            </w:r>
          </w:p>
        </w:tc>
        <w:tc>
          <w:tcPr>
            <w:tcW w:w="3685" w:type="dxa"/>
          </w:tcPr>
          <w:p w:rsidR="006C3F7E" w:rsidRPr="00F00A7E" w:rsidRDefault="00DF2A38" w:rsidP="006374C8">
            <w:pPr>
              <w:jc w:val="both"/>
              <w:rPr>
                <w:rFonts w:asciiTheme="majorHAnsi" w:hAnsiTheme="majorHAnsi" w:cstheme="majorHAnsi"/>
                <w:sz w:val="20"/>
                <w:szCs w:val="20"/>
              </w:rPr>
            </w:pPr>
            <w:r w:rsidRPr="00F00A7E">
              <w:rPr>
                <w:rFonts w:asciiTheme="majorHAnsi" w:hAnsiTheme="majorHAnsi" w:cstheme="majorHAnsi"/>
                <w:sz w:val="20"/>
                <w:szCs w:val="20"/>
              </w:rPr>
              <w:t>Ieteicams jauno dabas aizsardzības plāna kopsavilkumu digitālā veidā publicēt sabiedrībai pi</w:t>
            </w:r>
            <w:r w:rsidR="006374C8">
              <w:rPr>
                <w:rFonts w:asciiTheme="majorHAnsi" w:hAnsiTheme="majorHAnsi" w:cstheme="majorHAnsi"/>
                <w:sz w:val="20"/>
                <w:szCs w:val="20"/>
              </w:rPr>
              <w:t>eejamā formā (</w:t>
            </w:r>
            <w:proofErr w:type="spellStart"/>
            <w:r w:rsidR="006374C8">
              <w:rPr>
                <w:rFonts w:asciiTheme="majorHAnsi" w:hAnsiTheme="majorHAnsi" w:cstheme="majorHAnsi"/>
                <w:sz w:val="20"/>
                <w:szCs w:val="20"/>
              </w:rPr>
              <w:t>pdf</w:t>
            </w:r>
            <w:proofErr w:type="spellEnd"/>
            <w:r w:rsidR="006374C8">
              <w:rPr>
                <w:rFonts w:asciiTheme="majorHAnsi" w:hAnsiTheme="majorHAnsi" w:cstheme="majorHAnsi"/>
                <w:sz w:val="20"/>
                <w:szCs w:val="20"/>
              </w:rPr>
              <w:t>) un vietā (DAP</w:t>
            </w:r>
            <w:r w:rsidRPr="00F00A7E">
              <w:rPr>
                <w:rFonts w:asciiTheme="majorHAnsi" w:hAnsiTheme="majorHAnsi" w:cstheme="majorHAnsi"/>
                <w:sz w:val="20"/>
                <w:szCs w:val="20"/>
              </w:rPr>
              <w:t xml:space="preserve"> mājaslapa). </w:t>
            </w:r>
          </w:p>
        </w:tc>
      </w:tr>
      <w:tr w:rsidR="006C3F7E" w:rsidRPr="00F00A7E" w:rsidTr="00F00A7E">
        <w:tc>
          <w:tcPr>
            <w:tcW w:w="541" w:type="dxa"/>
          </w:tcPr>
          <w:p w:rsidR="006C3F7E" w:rsidRPr="00F00A7E" w:rsidRDefault="00DF2A38">
            <w:pPr>
              <w:jc w:val="both"/>
              <w:rPr>
                <w:rFonts w:asciiTheme="majorHAnsi" w:hAnsiTheme="majorHAnsi" w:cstheme="majorHAnsi"/>
                <w:sz w:val="20"/>
                <w:szCs w:val="20"/>
              </w:rPr>
            </w:pPr>
            <w:r w:rsidRPr="00F00A7E">
              <w:rPr>
                <w:rFonts w:asciiTheme="majorHAnsi" w:eastAsia="Arial Narrow" w:hAnsiTheme="majorHAnsi" w:cstheme="majorHAnsi"/>
                <w:i/>
                <w:sz w:val="20"/>
                <w:szCs w:val="20"/>
              </w:rPr>
              <w:t>D.3.3.</w:t>
            </w:r>
          </w:p>
        </w:tc>
        <w:tc>
          <w:tcPr>
            <w:tcW w:w="1842" w:type="dxa"/>
          </w:tcPr>
          <w:p w:rsidR="006C3F7E" w:rsidRPr="00F00A7E" w:rsidRDefault="00DF2A38">
            <w:pPr>
              <w:pBdr>
                <w:top w:val="nil"/>
                <w:left w:val="nil"/>
                <w:bottom w:val="nil"/>
                <w:right w:val="nil"/>
                <w:between w:val="nil"/>
              </w:pBdr>
              <w:spacing w:after="0"/>
              <w:jc w:val="both"/>
              <w:rPr>
                <w:rFonts w:asciiTheme="majorHAnsi" w:eastAsia="Arial Narrow" w:hAnsiTheme="majorHAnsi" w:cstheme="majorHAnsi"/>
                <w:color w:val="000000"/>
                <w:sz w:val="20"/>
                <w:szCs w:val="20"/>
              </w:rPr>
            </w:pPr>
            <w:r w:rsidRPr="00F00A7E">
              <w:rPr>
                <w:rFonts w:asciiTheme="majorHAnsi" w:eastAsia="Arial Narrow" w:hAnsiTheme="majorHAnsi" w:cstheme="majorHAnsi"/>
                <w:color w:val="000000"/>
                <w:sz w:val="20"/>
                <w:szCs w:val="20"/>
              </w:rPr>
              <w:t>Informācijas zīmju izgatavošana un uzstādīšana</w:t>
            </w:r>
          </w:p>
        </w:tc>
        <w:tc>
          <w:tcPr>
            <w:tcW w:w="993" w:type="dxa"/>
          </w:tcPr>
          <w:p w:rsidR="006C3F7E" w:rsidRPr="00F00A7E" w:rsidRDefault="006C3F7E">
            <w:pPr>
              <w:jc w:val="both"/>
              <w:rPr>
                <w:rFonts w:asciiTheme="majorHAnsi" w:hAnsiTheme="majorHAnsi" w:cstheme="majorHAnsi"/>
                <w:sz w:val="20"/>
                <w:szCs w:val="20"/>
              </w:rPr>
            </w:pPr>
          </w:p>
        </w:tc>
        <w:tc>
          <w:tcPr>
            <w:tcW w:w="2693"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Jūrmalas pilsētas pašvaldība ir uzstādījusi informācijas zīmes pludmales zonā, nodalot aktīvās un pasīvās pludmales zonas, kā arī nūdistu pludmali. Pie 13.līnijas noejas uz pludmali izvietoti gan kārtības noteikumi pludmalē, gan vispārīga informācija, kas varētu būt aktuāla teritorijas apmeklētājiem.</w:t>
            </w:r>
          </w:p>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 xml:space="preserve">Informācijas zīmes par dabas parku (ozollapa, dabas parka nosaukums) sastopamas ļoti </w:t>
            </w:r>
            <w:r w:rsidRPr="00F00A7E">
              <w:rPr>
                <w:rFonts w:asciiTheme="majorHAnsi" w:hAnsiTheme="majorHAnsi" w:cstheme="majorHAnsi"/>
                <w:sz w:val="20"/>
                <w:szCs w:val="20"/>
              </w:rPr>
              <w:lastRenderedPageBreak/>
              <w:t xml:space="preserve">reti. </w:t>
            </w:r>
          </w:p>
        </w:tc>
        <w:tc>
          <w:tcPr>
            <w:tcW w:w="3685"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lastRenderedPageBreak/>
              <w:t>Zīmes ir uzstādītas kvalitatīvi, pilda savu mērķi. Būtu ieteicams veidot diskusiju par nūdistu pludmales legalizēšanu un līdz ar to arī ar informācijas zīmēm nosprausto robežu ievietošanu informācijas telpā un arī drukātajos informācijas avotos.</w:t>
            </w:r>
          </w:p>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Informācijas zīmes (ozollapa, dabas parka nosaukuma zīme) būtu jāatjauno teritorijas robežpunktos, kā arī jāizvieto pie lielākajām noejām uz jūru, pie vecā veloceliņa, kad tas šķērso parka robežu.</w:t>
            </w:r>
          </w:p>
          <w:p w:rsidR="006C3F7E" w:rsidRPr="00F00A7E" w:rsidRDefault="006C3F7E">
            <w:pPr>
              <w:jc w:val="both"/>
              <w:rPr>
                <w:rFonts w:asciiTheme="majorHAnsi" w:hAnsiTheme="majorHAnsi" w:cstheme="majorHAnsi"/>
                <w:sz w:val="20"/>
                <w:szCs w:val="20"/>
              </w:rPr>
            </w:pPr>
          </w:p>
        </w:tc>
      </w:tr>
      <w:tr w:rsidR="006C3F7E" w:rsidRPr="00F00A7E" w:rsidTr="00F00A7E">
        <w:tc>
          <w:tcPr>
            <w:tcW w:w="541" w:type="dxa"/>
          </w:tcPr>
          <w:p w:rsidR="006C3F7E" w:rsidRPr="00F00A7E" w:rsidRDefault="00DF2A38">
            <w:pPr>
              <w:jc w:val="both"/>
              <w:rPr>
                <w:rFonts w:asciiTheme="majorHAnsi" w:hAnsiTheme="majorHAnsi" w:cstheme="majorHAnsi"/>
                <w:sz w:val="20"/>
                <w:szCs w:val="20"/>
              </w:rPr>
            </w:pPr>
            <w:r w:rsidRPr="00F00A7E">
              <w:rPr>
                <w:rFonts w:asciiTheme="majorHAnsi" w:eastAsia="Arial Narrow" w:hAnsiTheme="majorHAnsi" w:cstheme="majorHAnsi"/>
                <w:i/>
                <w:sz w:val="20"/>
                <w:szCs w:val="20"/>
              </w:rPr>
              <w:lastRenderedPageBreak/>
              <w:t>D.3.4.</w:t>
            </w:r>
          </w:p>
        </w:tc>
        <w:tc>
          <w:tcPr>
            <w:tcW w:w="1842" w:type="dxa"/>
          </w:tcPr>
          <w:p w:rsidR="006C3F7E" w:rsidRPr="00F00A7E" w:rsidRDefault="00DF2A38">
            <w:pPr>
              <w:pBdr>
                <w:top w:val="nil"/>
                <w:left w:val="nil"/>
                <w:bottom w:val="nil"/>
                <w:right w:val="nil"/>
                <w:between w:val="nil"/>
              </w:pBdr>
              <w:spacing w:after="0"/>
              <w:jc w:val="both"/>
              <w:rPr>
                <w:rFonts w:asciiTheme="majorHAnsi" w:eastAsia="Arial Narrow" w:hAnsiTheme="majorHAnsi" w:cstheme="majorHAnsi"/>
                <w:color w:val="000000"/>
                <w:sz w:val="20"/>
                <w:szCs w:val="20"/>
              </w:rPr>
            </w:pPr>
            <w:r w:rsidRPr="00F00A7E">
              <w:rPr>
                <w:rFonts w:asciiTheme="majorHAnsi" w:eastAsia="Arial Narrow" w:hAnsiTheme="majorHAnsi" w:cstheme="majorHAnsi"/>
                <w:color w:val="000000"/>
                <w:sz w:val="20"/>
                <w:szCs w:val="20"/>
              </w:rPr>
              <w:t>Informācija skolām</w:t>
            </w:r>
          </w:p>
        </w:tc>
        <w:tc>
          <w:tcPr>
            <w:tcW w:w="993" w:type="dxa"/>
          </w:tcPr>
          <w:p w:rsidR="006C3F7E" w:rsidRPr="00F00A7E" w:rsidRDefault="006C3F7E">
            <w:pPr>
              <w:jc w:val="both"/>
              <w:rPr>
                <w:rFonts w:asciiTheme="majorHAnsi" w:hAnsiTheme="majorHAnsi" w:cstheme="majorHAnsi"/>
                <w:sz w:val="20"/>
                <w:szCs w:val="20"/>
              </w:rPr>
            </w:pPr>
          </w:p>
        </w:tc>
        <w:tc>
          <w:tcPr>
            <w:tcW w:w="2693"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Specifiski pielāgota informācija skolām nav izveidota.</w:t>
            </w:r>
          </w:p>
        </w:tc>
        <w:tc>
          <w:tcPr>
            <w:tcW w:w="3685"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Dabas izglītības centra “Meža māja” piedāvājumā ir gan nodarbības par piekrasti, gan nodarbības izbraukumā, pielāgojoties katras skolas un grupas vajadzībām. Jāaktualizē esošais piedāvājums, popularizējot to skolu vidū, piedāvājot nodarbības vadīt Ragakāpas dabas parkā.</w:t>
            </w:r>
          </w:p>
        </w:tc>
      </w:tr>
      <w:tr w:rsidR="006C3F7E" w:rsidRPr="00F00A7E" w:rsidTr="00F00A7E">
        <w:tc>
          <w:tcPr>
            <w:tcW w:w="541" w:type="dxa"/>
          </w:tcPr>
          <w:p w:rsidR="006C3F7E" w:rsidRPr="00F00A7E" w:rsidRDefault="00DF2A38">
            <w:pPr>
              <w:jc w:val="both"/>
              <w:rPr>
                <w:rFonts w:asciiTheme="majorHAnsi" w:hAnsiTheme="majorHAnsi" w:cstheme="majorHAnsi"/>
                <w:sz w:val="20"/>
                <w:szCs w:val="20"/>
              </w:rPr>
            </w:pPr>
            <w:r w:rsidRPr="00F00A7E">
              <w:rPr>
                <w:rFonts w:asciiTheme="majorHAnsi" w:eastAsia="Arial Narrow" w:hAnsiTheme="majorHAnsi" w:cstheme="majorHAnsi"/>
                <w:i/>
                <w:sz w:val="20"/>
                <w:szCs w:val="20"/>
              </w:rPr>
              <w:t>D.3.5.</w:t>
            </w:r>
          </w:p>
        </w:tc>
        <w:tc>
          <w:tcPr>
            <w:tcW w:w="1842" w:type="dxa"/>
          </w:tcPr>
          <w:p w:rsidR="006C3F7E" w:rsidRPr="00F00A7E" w:rsidRDefault="00DF2A38">
            <w:pPr>
              <w:pBdr>
                <w:top w:val="nil"/>
                <w:left w:val="nil"/>
                <w:bottom w:val="nil"/>
                <w:right w:val="nil"/>
                <w:between w:val="nil"/>
              </w:pBdr>
              <w:spacing w:after="0"/>
              <w:jc w:val="both"/>
              <w:rPr>
                <w:rFonts w:asciiTheme="majorHAnsi" w:eastAsia="Arial Narrow" w:hAnsiTheme="majorHAnsi" w:cstheme="majorHAnsi"/>
                <w:color w:val="000000"/>
                <w:sz w:val="20"/>
                <w:szCs w:val="20"/>
              </w:rPr>
            </w:pPr>
            <w:r w:rsidRPr="00F00A7E">
              <w:rPr>
                <w:rFonts w:asciiTheme="majorHAnsi" w:eastAsia="Arial Narrow" w:hAnsiTheme="majorHAnsi" w:cstheme="majorHAnsi"/>
                <w:color w:val="000000"/>
                <w:sz w:val="20"/>
                <w:szCs w:val="20"/>
              </w:rPr>
              <w:t>Ekskursijas skolēniem</w:t>
            </w:r>
          </w:p>
        </w:tc>
        <w:tc>
          <w:tcPr>
            <w:tcW w:w="993" w:type="dxa"/>
          </w:tcPr>
          <w:p w:rsidR="006C3F7E" w:rsidRPr="00F00A7E" w:rsidRDefault="006C3F7E">
            <w:pPr>
              <w:jc w:val="both"/>
              <w:rPr>
                <w:rFonts w:asciiTheme="majorHAnsi" w:hAnsiTheme="majorHAnsi" w:cstheme="majorHAnsi"/>
                <w:sz w:val="20"/>
                <w:szCs w:val="20"/>
              </w:rPr>
            </w:pPr>
          </w:p>
        </w:tc>
        <w:tc>
          <w:tcPr>
            <w:tcW w:w="2693"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 xml:space="preserve">Ekskursijas dabā muzeja darbinieku vadībā nenotiek, jo muzejam nav ne pietiekami daudz darbinieku, ne specifisku zināšanu par dabas parka teritoriju. </w:t>
            </w:r>
          </w:p>
        </w:tc>
        <w:tc>
          <w:tcPr>
            <w:tcW w:w="3685"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Ekskursijas, iepriekš vienojoties, varētu vadīt DIC</w:t>
            </w:r>
            <w:r w:rsidRPr="00F00A7E">
              <w:rPr>
                <w:rFonts w:asciiTheme="majorHAnsi" w:hAnsiTheme="majorHAnsi" w:cstheme="majorHAnsi"/>
                <w:sz w:val="20"/>
                <w:szCs w:val="20"/>
                <w:vertAlign w:val="superscript"/>
              </w:rPr>
              <w:footnoteReference w:id="4"/>
            </w:r>
            <w:r w:rsidRPr="00F00A7E">
              <w:rPr>
                <w:rFonts w:asciiTheme="majorHAnsi" w:hAnsiTheme="majorHAnsi" w:cstheme="majorHAnsi"/>
                <w:sz w:val="20"/>
                <w:szCs w:val="20"/>
              </w:rPr>
              <w:t xml:space="preserve"> “Meža māja” dabas izglītības speciālisti.</w:t>
            </w:r>
          </w:p>
        </w:tc>
      </w:tr>
      <w:tr w:rsidR="006C3F7E" w:rsidRPr="00F00A7E" w:rsidTr="00F00A7E">
        <w:tc>
          <w:tcPr>
            <w:tcW w:w="541" w:type="dxa"/>
          </w:tcPr>
          <w:p w:rsidR="006C3F7E" w:rsidRPr="00F00A7E" w:rsidRDefault="00DF2A38">
            <w:pPr>
              <w:jc w:val="both"/>
              <w:rPr>
                <w:rFonts w:asciiTheme="majorHAnsi" w:hAnsiTheme="majorHAnsi" w:cstheme="majorHAnsi"/>
                <w:sz w:val="20"/>
                <w:szCs w:val="20"/>
              </w:rPr>
            </w:pPr>
            <w:r w:rsidRPr="00F00A7E">
              <w:rPr>
                <w:rFonts w:asciiTheme="majorHAnsi" w:eastAsia="Arial Narrow" w:hAnsiTheme="majorHAnsi" w:cstheme="majorHAnsi"/>
                <w:i/>
                <w:sz w:val="20"/>
                <w:szCs w:val="20"/>
              </w:rPr>
              <w:t>D.3.6.</w:t>
            </w:r>
          </w:p>
        </w:tc>
        <w:tc>
          <w:tcPr>
            <w:tcW w:w="1842" w:type="dxa"/>
          </w:tcPr>
          <w:p w:rsidR="006C3F7E" w:rsidRPr="00F00A7E" w:rsidRDefault="00DF2A38">
            <w:pPr>
              <w:pBdr>
                <w:top w:val="nil"/>
                <w:left w:val="nil"/>
                <w:bottom w:val="nil"/>
                <w:right w:val="nil"/>
                <w:between w:val="nil"/>
              </w:pBdr>
              <w:spacing w:after="0"/>
              <w:jc w:val="both"/>
              <w:rPr>
                <w:rFonts w:asciiTheme="majorHAnsi" w:eastAsia="Arial Narrow" w:hAnsiTheme="majorHAnsi" w:cstheme="majorHAnsi"/>
                <w:color w:val="000000"/>
                <w:sz w:val="20"/>
                <w:szCs w:val="20"/>
              </w:rPr>
            </w:pPr>
            <w:r w:rsidRPr="00F00A7E">
              <w:rPr>
                <w:rFonts w:asciiTheme="majorHAnsi" w:eastAsia="Arial Narrow" w:hAnsiTheme="majorHAnsi" w:cstheme="majorHAnsi"/>
                <w:color w:val="000000"/>
                <w:sz w:val="20"/>
                <w:szCs w:val="20"/>
              </w:rPr>
              <w:t>Regulāra informācija Jūrmalas avīzē</w:t>
            </w:r>
          </w:p>
        </w:tc>
        <w:tc>
          <w:tcPr>
            <w:tcW w:w="993" w:type="dxa"/>
          </w:tcPr>
          <w:p w:rsidR="006C3F7E" w:rsidRPr="00F00A7E" w:rsidRDefault="006C3F7E">
            <w:pPr>
              <w:jc w:val="both"/>
              <w:rPr>
                <w:rFonts w:asciiTheme="majorHAnsi" w:hAnsiTheme="majorHAnsi" w:cstheme="majorHAnsi"/>
                <w:sz w:val="20"/>
                <w:szCs w:val="20"/>
              </w:rPr>
            </w:pPr>
          </w:p>
        </w:tc>
        <w:tc>
          <w:tcPr>
            <w:tcW w:w="2693"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 xml:space="preserve">Avīzē ļoti reti, bet parādās informācija par apjomīgiem būvniecības darbiem parka teritorijā (piem., Kohēzijas fonda laipas), paziņojums par dabas parka “Ragakāpa” dabas aizsardzības plāna izstrādes uzsākšanas sanāksmi </w:t>
            </w:r>
            <w:proofErr w:type="spellStart"/>
            <w:r w:rsidRPr="00F00A7E">
              <w:rPr>
                <w:rFonts w:asciiTheme="majorHAnsi" w:hAnsiTheme="majorHAnsi" w:cstheme="majorHAnsi"/>
                <w:sz w:val="20"/>
                <w:szCs w:val="20"/>
              </w:rPr>
              <w:t>utml</w:t>
            </w:r>
            <w:proofErr w:type="spellEnd"/>
            <w:r w:rsidRPr="00F00A7E">
              <w:rPr>
                <w:rFonts w:asciiTheme="majorHAnsi" w:hAnsiTheme="majorHAnsi" w:cstheme="majorHAnsi"/>
                <w:sz w:val="20"/>
                <w:szCs w:val="20"/>
              </w:rPr>
              <w:t>.</w:t>
            </w:r>
          </w:p>
        </w:tc>
        <w:tc>
          <w:tcPr>
            <w:tcW w:w="3685"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 xml:space="preserve">Avīzē tiek pasniegta tikai pati svarīgākā informācija, nav ne izglītojošu, ne preventīvas ievirzes rakstu. Lai aktualizētu dabas parkā esošās vērtības, būtu ieteicams vismaz reizi ceturksnī publicēt izglītojošu rakstu vai interviju ar nozares speciālistu. Raksti var tikt veidoti sadarbībā ar DAP Pierīgas administrācijas darbiniekiem. </w:t>
            </w:r>
          </w:p>
        </w:tc>
      </w:tr>
      <w:tr w:rsidR="006C3F7E" w:rsidRPr="00F00A7E" w:rsidTr="00F00A7E">
        <w:tc>
          <w:tcPr>
            <w:tcW w:w="541" w:type="dxa"/>
          </w:tcPr>
          <w:p w:rsidR="006C3F7E" w:rsidRPr="00F00A7E" w:rsidRDefault="00DF2A38">
            <w:pPr>
              <w:jc w:val="both"/>
              <w:rPr>
                <w:rFonts w:asciiTheme="majorHAnsi" w:hAnsiTheme="majorHAnsi" w:cstheme="majorHAnsi"/>
                <w:sz w:val="20"/>
                <w:szCs w:val="20"/>
              </w:rPr>
            </w:pPr>
            <w:r w:rsidRPr="00F00A7E">
              <w:rPr>
                <w:rFonts w:asciiTheme="majorHAnsi" w:eastAsia="Arial Narrow" w:hAnsiTheme="majorHAnsi" w:cstheme="majorHAnsi"/>
                <w:i/>
                <w:sz w:val="20"/>
                <w:szCs w:val="20"/>
              </w:rPr>
              <w:t>D.3.7.</w:t>
            </w:r>
          </w:p>
        </w:tc>
        <w:tc>
          <w:tcPr>
            <w:tcW w:w="1842" w:type="dxa"/>
          </w:tcPr>
          <w:p w:rsidR="006C3F7E" w:rsidRPr="00F00A7E" w:rsidRDefault="00DF2A38">
            <w:pPr>
              <w:pBdr>
                <w:top w:val="nil"/>
                <w:left w:val="nil"/>
                <w:bottom w:val="nil"/>
                <w:right w:val="nil"/>
                <w:between w:val="nil"/>
              </w:pBdr>
              <w:spacing w:after="0"/>
              <w:jc w:val="both"/>
              <w:rPr>
                <w:rFonts w:asciiTheme="majorHAnsi" w:eastAsia="Arial Narrow" w:hAnsiTheme="majorHAnsi" w:cstheme="majorHAnsi"/>
                <w:color w:val="000000"/>
                <w:sz w:val="20"/>
                <w:szCs w:val="20"/>
              </w:rPr>
            </w:pPr>
            <w:r w:rsidRPr="00F00A7E">
              <w:rPr>
                <w:rFonts w:asciiTheme="majorHAnsi" w:eastAsia="Arial Narrow" w:hAnsiTheme="majorHAnsi" w:cstheme="majorHAnsi"/>
                <w:color w:val="000000"/>
                <w:sz w:val="20"/>
                <w:szCs w:val="20"/>
              </w:rPr>
              <w:t>Mājas lapas izveide</w:t>
            </w:r>
          </w:p>
        </w:tc>
        <w:tc>
          <w:tcPr>
            <w:tcW w:w="993" w:type="dxa"/>
          </w:tcPr>
          <w:p w:rsidR="006C3F7E" w:rsidRPr="00F00A7E" w:rsidRDefault="006C3F7E">
            <w:pPr>
              <w:jc w:val="both"/>
              <w:rPr>
                <w:rFonts w:asciiTheme="majorHAnsi" w:hAnsiTheme="majorHAnsi" w:cstheme="majorHAnsi"/>
                <w:sz w:val="20"/>
                <w:szCs w:val="20"/>
              </w:rPr>
            </w:pPr>
          </w:p>
        </w:tc>
        <w:tc>
          <w:tcPr>
            <w:tcW w:w="2693"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Mājaslapa nav izveidota.</w:t>
            </w:r>
          </w:p>
        </w:tc>
        <w:tc>
          <w:tcPr>
            <w:tcW w:w="3685" w:type="dxa"/>
          </w:tcPr>
          <w:p w:rsidR="006C3F7E" w:rsidRPr="00F00A7E" w:rsidRDefault="00DF2A38" w:rsidP="00CD6145">
            <w:pPr>
              <w:jc w:val="both"/>
              <w:rPr>
                <w:rFonts w:asciiTheme="majorHAnsi" w:hAnsiTheme="majorHAnsi" w:cstheme="majorHAnsi"/>
                <w:sz w:val="20"/>
                <w:szCs w:val="20"/>
              </w:rPr>
            </w:pPr>
            <w:r w:rsidRPr="00F00A7E">
              <w:rPr>
                <w:rFonts w:asciiTheme="majorHAnsi" w:hAnsiTheme="majorHAnsi" w:cstheme="majorHAnsi"/>
                <w:sz w:val="20"/>
                <w:szCs w:val="20"/>
              </w:rPr>
              <w:t>Informācija par dabas park</w:t>
            </w:r>
            <w:r w:rsidR="00D253A6">
              <w:rPr>
                <w:rFonts w:asciiTheme="majorHAnsi" w:hAnsiTheme="majorHAnsi" w:cstheme="majorHAnsi"/>
                <w:sz w:val="20"/>
                <w:szCs w:val="20"/>
              </w:rPr>
              <w:t xml:space="preserve">u ir atrodama vairākās tūrisma </w:t>
            </w:r>
            <w:r w:rsidRPr="00F00A7E">
              <w:rPr>
                <w:rFonts w:asciiTheme="majorHAnsi" w:hAnsiTheme="majorHAnsi" w:cstheme="majorHAnsi"/>
                <w:sz w:val="20"/>
                <w:szCs w:val="20"/>
              </w:rPr>
              <w:t>internet</w:t>
            </w:r>
            <w:r w:rsidR="006374C8">
              <w:rPr>
                <w:rFonts w:asciiTheme="majorHAnsi" w:hAnsiTheme="majorHAnsi" w:cstheme="majorHAnsi"/>
                <w:sz w:val="20"/>
                <w:szCs w:val="20"/>
              </w:rPr>
              <w:t xml:space="preserve">a </w:t>
            </w:r>
            <w:r w:rsidRPr="00F00A7E">
              <w:rPr>
                <w:rFonts w:asciiTheme="majorHAnsi" w:hAnsiTheme="majorHAnsi" w:cstheme="majorHAnsi"/>
                <w:sz w:val="20"/>
                <w:szCs w:val="20"/>
              </w:rPr>
              <w:t>vietnēs, kā arī DAP mājaslapā, tūrisma sadaļā. Lai popularizētu dabas parku, DAP vai JPD būtu ieteicams regulāri ievietot</w:t>
            </w:r>
            <w:r w:rsidR="00CD6145">
              <w:rPr>
                <w:rFonts w:asciiTheme="majorHAnsi" w:hAnsiTheme="majorHAnsi" w:cstheme="majorHAnsi"/>
                <w:sz w:val="20"/>
                <w:szCs w:val="20"/>
              </w:rPr>
              <w:t xml:space="preserve"> informāciju sociālajos tīklos.</w:t>
            </w:r>
          </w:p>
        </w:tc>
      </w:tr>
      <w:tr w:rsidR="006C3F7E" w:rsidRPr="00F00A7E" w:rsidTr="00F00A7E">
        <w:tc>
          <w:tcPr>
            <w:tcW w:w="541" w:type="dxa"/>
          </w:tcPr>
          <w:p w:rsidR="006C3F7E" w:rsidRPr="00F00A7E" w:rsidRDefault="00DF2A38">
            <w:pPr>
              <w:jc w:val="both"/>
              <w:rPr>
                <w:rFonts w:asciiTheme="majorHAnsi" w:hAnsiTheme="majorHAnsi" w:cstheme="majorHAnsi"/>
                <w:sz w:val="20"/>
                <w:szCs w:val="20"/>
              </w:rPr>
            </w:pPr>
            <w:r w:rsidRPr="00F00A7E">
              <w:rPr>
                <w:rFonts w:asciiTheme="majorHAnsi" w:eastAsia="Arial Narrow" w:hAnsiTheme="majorHAnsi" w:cstheme="majorHAnsi"/>
                <w:i/>
                <w:sz w:val="20"/>
                <w:szCs w:val="20"/>
              </w:rPr>
              <w:t>D.3.8.</w:t>
            </w:r>
          </w:p>
        </w:tc>
        <w:tc>
          <w:tcPr>
            <w:tcW w:w="1842" w:type="dxa"/>
          </w:tcPr>
          <w:p w:rsidR="006C3F7E" w:rsidRPr="00F00A7E" w:rsidRDefault="00DF2A38">
            <w:pPr>
              <w:pBdr>
                <w:top w:val="nil"/>
                <w:left w:val="nil"/>
                <w:bottom w:val="nil"/>
                <w:right w:val="nil"/>
                <w:between w:val="nil"/>
              </w:pBdr>
              <w:spacing w:after="0"/>
              <w:jc w:val="both"/>
              <w:rPr>
                <w:rFonts w:asciiTheme="majorHAnsi" w:eastAsia="Arial Narrow" w:hAnsiTheme="majorHAnsi" w:cstheme="majorHAnsi"/>
                <w:color w:val="000000"/>
                <w:sz w:val="20"/>
                <w:szCs w:val="20"/>
              </w:rPr>
            </w:pPr>
            <w:r w:rsidRPr="00F00A7E">
              <w:rPr>
                <w:rFonts w:asciiTheme="majorHAnsi" w:eastAsia="Arial Narrow" w:hAnsiTheme="majorHAnsi" w:cstheme="majorHAnsi"/>
                <w:color w:val="000000"/>
                <w:sz w:val="20"/>
                <w:szCs w:val="20"/>
              </w:rPr>
              <w:t>Informācija par svešajām sugām</w:t>
            </w:r>
          </w:p>
        </w:tc>
        <w:tc>
          <w:tcPr>
            <w:tcW w:w="993" w:type="dxa"/>
          </w:tcPr>
          <w:p w:rsidR="006C3F7E" w:rsidRPr="00F00A7E" w:rsidRDefault="006C3F7E">
            <w:pPr>
              <w:jc w:val="both"/>
              <w:rPr>
                <w:rFonts w:asciiTheme="majorHAnsi" w:hAnsiTheme="majorHAnsi" w:cstheme="majorHAnsi"/>
                <w:sz w:val="20"/>
                <w:szCs w:val="20"/>
              </w:rPr>
            </w:pPr>
          </w:p>
        </w:tc>
        <w:tc>
          <w:tcPr>
            <w:tcW w:w="2693"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Buklets par svešajām sugām nav izveidots. Nav informācijas, ka iedzīvotājiem būtu izsūtītas vēstules un bukleti, kā paredzēts dabas aizsardzības plānā.</w:t>
            </w:r>
          </w:p>
        </w:tc>
        <w:tc>
          <w:tcPr>
            <w:tcW w:w="3685"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Informācija par svešajām sugām būtu jāiekļauj informācijas stendā, kas novietots tuvumā kādai no svešajām sugām. Stenda novietošana jāsaskaņo ar botāniķi.</w:t>
            </w:r>
          </w:p>
        </w:tc>
      </w:tr>
      <w:tr w:rsidR="006C3F7E" w:rsidRPr="00F00A7E" w:rsidTr="00F00A7E">
        <w:tc>
          <w:tcPr>
            <w:tcW w:w="541" w:type="dxa"/>
          </w:tcPr>
          <w:p w:rsidR="006C3F7E" w:rsidRPr="00F00A7E" w:rsidRDefault="00DF2A38">
            <w:pPr>
              <w:jc w:val="both"/>
              <w:rPr>
                <w:rFonts w:asciiTheme="majorHAnsi" w:hAnsiTheme="majorHAnsi" w:cstheme="majorHAnsi"/>
                <w:sz w:val="20"/>
                <w:szCs w:val="20"/>
              </w:rPr>
            </w:pPr>
            <w:r w:rsidRPr="00F00A7E">
              <w:rPr>
                <w:rFonts w:asciiTheme="majorHAnsi" w:eastAsia="Arial Narrow" w:hAnsiTheme="majorHAnsi" w:cstheme="majorHAnsi"/>
                <w:i/>
                <w:sz w:val="20"/>
                <w:szCs w:val="20"/>
              </w:rPr>
              <w:t>D.3.9.</w:t>
            </w:r>
          </w:p>
        </w:tc>
        <w:tc>
          <w:tcPr>
            <w:tcW w:w="1842" w:type="dxa"/>
          </w:tcPr>
          <w:p w:rsidR="006C3F7E" w:rsidRPr="00F00A7E" w:rsidRDefault="00DF2A38">
            <w:pPr>
              <w:pBdr>
                <w:top w:val="nil"/>
                <w:left w:val="nil"/>
                <w:bottom w:val="nil"/>
                <w:right w:val="nil"/>
                <w:between w:val="nil"/>
              </w:pBdr>
              <w:spacing w:after="0"/>
              <w:jc w:val="both"/>
              <w:rPr>
                <w:rFonts w:asciiTheme="majorHAnsi" w:eastAsia="Arial Narrow" w:hAnsiTheme="majorHAnsi" w:cstheme="majorHAnsi"/>
                <w:color w:val="000000"/>
                <w:sz w:val="20"/>
                <w:szCs w:val="20"/>
              </w:rPr>
            </w:pPr>
            <w:r w:rsidRPr="00F00A7E">
              <w:rPr>
                <w:rFonts w:asciiTheme="majorHAnsi" w:eastAsia="Arial Narrow" w:hAnsiTheme="majorHAnsi" w:cstheme="majorHAnsi"/>
                <w:color w:val="000000"/>
                <w:sz w:val="20"/>
                <w:szCs w:val="20"/>
              </w:rPr>
              <w:t>Informācijas punkti</w:t>
            </w:r>
          </w:p>
        </w:tc>
        <w:tc>
          <w:tcPr>
            <w:tcW w:w="993" w:type="dxa"/>
          </w:tcPr>
          <w:p w:rsidR="006C3F7E" w:rsidRPr="00F00A7E" w:rsidRDefault="006C3F7E">
            <w:pPr>
              <w:jc w:val="both"/>
              <w:rPr>
                <w:rFonts w:asciiTheme="majorHAnsi" w:hAnsiTheme="majorHAnsi" w:cstheme="majorHAnsi"/>
                <w:sz w:val="20"/>
                <w:szCs w:val="20"/>
              </w:rPr>
            </w:pPr>
          </w:p>
        </w:tc>
        <w:tc>
          <w:tcPr>
            <w:tcW w:w="2693"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Informācijas punkti nav izveidoti. Muzeja darbinieki nav apmācīti, bet spēj sniegt pamatinformāciju par dabas parku.</w:t>
            </w:r>
          </w:p>
        </w:tc>
        <w:tc>
          <w:tcPr>
            <w:tcW w:w="3685"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Informācija par Ragakāpas DP jāizvieto gan Brīvdabas muzejā, gan, vienojoties ar 36.līnijas ēdināšanas iestādēm – kādā vai visās iestādēs. Informācija jāpasniedz bukleta veidā.</w:t>
            </w:r>
          </w:p>
        </w:tc>
      </w:tr>
      <w:tr w:rsidR="006C3F7E" w:rsidRPr="00F00A7E" w:rsidTr="00F00A7E">
        <w:tc>
          <w:tcPr>
            <w:tcW w:w="541" w:type="dxa"/>
          </w:tcPr>
          <w:p w:rsidR="006C3F7E" w:rsidRPr="00F00A7E" w:rsidRDefault="00DF2A38">
            <w:pPr>
              <w:jc w:val="both"/>
              <w:rPr>
                <w:rFonts w:asciiTheme="majorHAnsi" w:hAnsiTheme="majorHAnsi" w:cstheme="majorHAnsi"/>
                <w:sz w:val="20"/>
                <w:szCs w:val="20"/>
              </w:rPr>
            </w:pPr>
            <w:r w:rsidRPr="00F00A7E">
              <w:rPr>
                <w:rFonts w:asciiTheme="majorHAnsi" w:eastAsia="Arial Narrow" w:hAnsiTheme="majorHAnsi" w:cstheme="majorHAnsi"/>
                <w:i/>
                <w:sz w:val="20"/>
                <w:szCs w:val="20"/>
              </w:rPr>
              <w:t>D.3.10.</w:t>
            </w:r>
          </w:p>
        </w:tc>
        <w:tc>
          <w:tcPr>
            <w:tcW w:w="1842" w:type="dxa"/>
          </w:tcPr>
          <w:p w:rsidR="006C3F7E" w:rsidRPr="00F00A7E" w:rsidRDefault="00DF2A38">
            <w:pPr>
              <w:pBdr>
                <w:top w:val="nil"/>
                <w:left w:val="nil"/>
                <w:bottom w:val="nil"/>
                <w:right w:val="nil"/>
                <w:between w:val="nil"/>
              </w:pBdr>
              <w:spacing w:after="0"/>
              <w:jc w:val="both"/>
              <w:rPr>
                <w:rFonts w:asciiTheme="majorHAnsi" w:eastAsia="Arial Narrow" w:hAnsiTheme="majorHAnsi" w:cstheme="majorHAnsi"/>
                <w:color w:val="000000"/>
                <w:sz w:val="20"/>
                <w:szCs w:val="20"/>
              </w:rPr>
            </w:pPr>
            <w:r w:rsidRPr="00F00A7E">
              <w:rPr>
                <w:rFonts w:asciiTheme="majorHAnsi" w:eastAsia="Arial Narrow" w:hAnsiTheme="majorHAnsi" w:cstheme="majorHAnsi"/>
                <w:color w:val="000000"/>
                <w:sz w:val="20"/>
                <w:szCs w:val="20"/>
              </w:rPr>
              <w:t>Brīvdabas muzeja darbinieku apmācīšana ekskursiju vadīšanā</w:t>
            </w:r>
          </w:p>
        </w:tc>
        <w:tc>
          <w:tcPr>
            <w:tcW w:w="993" w:type="dxa"/>
          </w:tcPr>
          <w:p w:rsidR="006C3F7E" w:rsidRPr="00F00A7E" w:rsidRDefault="006C3F7E">
            <w:pPr>
              <w:jc w:val="both"/>
              <w:rPr>
                <w:rFonts w:asciiTheme="majorHAnsi" w:hAnsiTheme="majorHAnsi" w:cstheme="majorHAnsi"/>
                <w:sz w:val="20"/>
                <w:szCs w:val="20"/>
              </w:rPr>
            </w:pPr>
          </w:p>
        </w:tc>
        <w:tc>
          <w:tcPr>
            <w:tcW w:w="2693"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Muzeja darbinieki nav apmācīti un ekskursijas nevada.</w:t>
            </w:r>
          </w:p>
        </w:tc>
        <w:tc>
          <w:tcPr>
            <w:tcW w:w="3685" w:type="dxa"/>
          </w:tcPr>
          <w:p w:rsidR="006C3F7E" w:rsidRPr="00F00A7E" w:rsidRDefault="00DF2A38">
            <w:pPr>
              <w:jc w:val="both"/>
              <w:rPr>
                <w:rFonts w:asciiTheme="majorHAnsi" w:hAnsiTheme="majorHAnsi" w:cstheme="majorHAnsi"/>
                <w:sz w:val="20"/>
                <w:szCs w:val="20"/>
              </w:rPr>
            </w:pPr>
            <w:r w:rsidRPr="00F00A7E">
              <w:rPr>
                <w:rFonts w:asciiTheme="majorHAnsi" w:hAnsiTheme="majorHAnsi" w:cstheme="majorHAnsi"/>
                <w:sz w:val="20"/>
                <w:szCs w:val="20"/>
              </w:rPr>
              <w:t xml:space="preserve">Muzejā nav pietiekams </w:t>
            </w:r>
            <w:proofErr w:type="spellStart"/>
            <w:r w:rsidRPr="00F00A7E">
              <w:rPr>
                <w:rFonts w:asciiTheme="majorHAnsi" w:hAnsiTheme="majorHAnsi" w:cstheme="majorHAnsi"/>
                <w:sz w:val="20"/>
                <w:szCs w:val="20"/>
              </w:rPr>
              <w:t>cilvēkresurss</w:t>
            </w:r>
            <w:proofErr w:type="spellEnd"/>
            <w:r w:rsidRPr="00F00A7E">
              <w:rPr>
                <w:rFonts w:asciiTheme="majorHAnsi" w:hAnsiTheme="majorHAnsi" w:cstheme="majorHAnsi"/>
                <w:sz w:val="20"/>
                <w:szCs w:val="20"/>
              </w:rPr>
              <w:t xml:space="preserve">, lai vadītu ekskursijas dabas parkā. </w:t>
            </w:r>
          </w:p>
        </w:tc>
      </w:tr>
    </w:tbl>
    <w:p w:rsidR="00E35C36" w:rsidRDefault="00E35C36" w:rsidP="00E35C36">
      <w:pPr>
        <w:jc w:val="right"/>
        <w:rPr>
          <w:rFonts w:cstheme="minorHAnsi"/>
          <w:b/>
          <w:sz w:val="20"/>
          <w:szCs w:val="20"/>
        </w:rPr>
      </w:pPr>
      <w:r>
        <w:rPr>
          <w:rFonts w:cstheme="minorHAnsi"/>
          <w:sz w:val="20"/>
          <w:szCs w:val="20"/>
        </w:rPr>
        <w:t>41</w:t>
      </w:r>
      <w:r w:rsidRPr="00457482">
        <w:rPr>
          <w:rFonts w:cstheme="minorHAnsi"/>
          <w:sz w:val="20"/>
          <w:szCs w:val="20"/>
        </w:rPr>
        <w:t xml:space="preserve">.tabula. </w:t>
      </w:r>
      <w:r w:rsidRPr="00457482">
        <w:rPr>
          <w:rFonts w:cstheme="minorHAnsi"/>
          <w:b/>
          <w:sz w:val="20"/>
          <w:szCs w:val="20"/>
        </w:rPr>
        <w:t xml:space="preserve">Iepriekšējā dabas aizsardzības plānā veikto apsaimniekošanas pasākumu </w:t>
      </w:r>
      <w:proofErr w:type="spellStart"/>
      <w:r w:rsidRPr="00457482">
        <w:rPr>
          <w:rFonts w:cstheme="minorHAnsi"/>
          <w:b/>
          <w:sz w:val="20"/>
          <w:szCs w:val="20"/>
        </w:rPr>
        <w:t>izvērtējums</w:t>
      </w:r>
      <w:proofErr w:type="spellEnd"/>
    </w:p>
    <w:p w:rsidR="00E35C36" w:rsidRDefault="00E35C36" w:rsidP="009F3D8E">
      <w:pPr>
        <w:jc w:val="both"/>
      </w:pPr>
    </w:p>
    <w:sectPr w:rsidR="00E35C36">
      <w:pgSz w:w="11906" w:h="16838"/>
      <w:pgMar w:top="1440" w:right="1800" w:bottom="1440" w:left="180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E06" w:rsidRDefault="00EB7E06">
      <w:pPr>
        <w:spacing w:after="0"/>
      </w:pPr>
      <w:r>
        <w:separator/>
      </w:r>
    </w:p>
  </w:endnote>
  <w:endnote w:type="continuationSeparator" w:id="0">
    <w:p w:rsidR="00EB7E06" w:rsidRDefault="00EB7E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E06" w:rsidRDefault="00EB7E06">
      <w:pPr>
        <w:spacing w:after="0"/>
      </w:pPr>
      <w:r>
        <w:separator/>
      </w:r>
    </w:p>
  </w:footnote>
  <w:footnote w:type="continuationSeparator" w:id="0">
    <w:p w:rsidR="00EB7E06" w:rsidRDefault="00EB7E06">
      <w:pPr>
        <w:spacing w:after="0"/>
      </w:pPr>
      <w:r>
        <w:continuationSeparator/>
      </w:r>
    </w:p>
  </w:footnote>
  <w:footnote w:id="1">
    <w:p w:rsidR="006C3F7E" w:rsidRDefault="00DF2A38">
      <w:pPr>
        <w:pBdr>
          <w:top w:val="nil"/>
          <w:left w:val="nil"/>
          <w:bottom w:val="nil"/>
          <w:right w:val="nil"/>
          <w:between w:val="nil"/>
        </w:pBdr>
        <w:spacing w:after="0"/>
        <w:jc w:val="both"/>
        <w:rPr>
          <w:color w:val="000000"/>
          <w:sz w:val="20"/>
          <w:szCs w:val="20"/>
        </w:rPr>
      </w:pPr>
      <w:r>
        <w:rPr>
          <w:vertAlign w:val="superscript"/>
        </w:rPr>
        <w:footnoteRef/>
      </w:r>
      <w:r>
        <w:rPr>
          <w:color w:val="000000"/>
          <w:sz w:val="20"/>
          <w:szCs w:val="20"/>
        </w:rPr>
        <w:t xml:space="preserve"> “</w:t>
      </w:r>
      <w:r>
        <w:rPr>
          <w:i/>
          <w:color w:val="000000"/>
          <w:sz w:val="20"/>
          <w:szCs w:val="20"/>
        </w:rPr>
        <w:t xml:space="preserve">Antropogēno slodzi samazinošās un informatīvās infrastruktūras izveide </w:t>
      </w:r>
      <w:proofErr w:type="spellStart"/>
      <w:r>
        <w:rPr>
          <w:i/>
          <w:color w:val="000000"/>
          <w:sz w:val="20"/>
          <w:szCs w:val="20"/>
        </w:rPr>
        <w:t>Natura</w:t>
      </w:r>
      <w:proofErr w:type="spellEnd"/>
      <w:r>
        <w:rPr>
          <w:i/>
          <w:color w:val="000000"/>
          <w:sz w:val="20"/>
          <w:szCs w:val="20"/>
        </w:rPr>
        <w:t xml:space="preserve"> 2000 teritorijās”</w:t>
      </w:r>
    </w:p>
  </w:footnote>
  <w:footnote w:id="2">
    <w:p w:rsidR="006C3F7E" w:rsidRDefault="00DF2A38">
      <w:pPr>
        <w:pBdr>
          <w:top w:val="nil"/>
          <w:left w:val="nil"/>
          <w:bottom w:val="nil"/>
          <w:right w:val="nil"/>
          <w:between w:val="nil"/>
        </w:pBdr>
        <w:spacing w:after="0"/>
        <w:rPr>
          <w:color w:val="000000"/>
          <w:sz w:val="20"/>
          <w:szCs w:val="20"/>
        </w:rPr>
      </w:pPr>
      <w:r>
        <w:rPr>
          <w:vertAlign w:val="superscript"/>
        </w:rPr>
        <w:footnoteRef/>
      </w:r>
      <w:r>
        <w:rPr>
          <w:color w:val="000000"/>
          <w:sz w:val="20"/>
          <w:szCs w:val="20"/>
        </w:rPr>
        <w:t xml:space="preserve"> </w:t>
      </w:r>
      <w:proofErr w:type="spellStart"/>
      <w:r>
        <w:rPr>
          <w:color w:val="000000"/>
          <w:sz w:val="20"/>
          <w:szCs w:val="20"/>
        </w:rPr>
        <w:t>Jūrtakas</w:t>
      </w:r>
      <w:proofErr w:type="spellEnd"/>
      <w:r>
        <w:rPr>
          <w:color w:val="000000"/>
          <w:sz w:val="20"/>
          <w:szCs w:val="20"/>
        </w:rPr>
        <w:t xml:space="preserve"> gājēju ceļa oficiālā mājas lapa: </w:t>
      </w:r>
      <w:hyperlink r:id="rId1">
        <w:r>
          <w:rPr>
            <w:color w:val="0563C1"/>
            <w:sz w:val="20"/>
            <w:szCs w:val="20"/>
            <w:u w:val="single"/>
          </w:rPr>
          <w:t>http://coastalhiking.eu/lv/tour/facts</w:t>
        </w:r>
      </w:hyperlink>
      <w:r>
        <w:rPr>
          <w:color w:val="000000"/>
          <w:sz w:val="20"/>
          <w:szCs w:val="20"/>
        </w:rPr>
        <w:t xml:space="preserve"> </w:t>
      </w:r>
    </w:p>
  </w:footnote>
  <w:footnote w:id="3">
    <w:p w:rsidR="006C3F7E" w:rsidRDefault="00DF2A38">
      <w:pPr>
        <w:pBdr>
          <w:top w:val="nil"/>
          <w:left w:val="nil"/>
          <w:bottom w:val="nil"/>
          <w:right w:val="nil"/>
          <w:between w:val="nil"/>
        </w:pBdr>
        <w:spacing w:after="0"/>
        <w:jc w:val="both"/>
        <w:rPr>
          <w:color w:val="000000"/>
          <w:sz w:val="20"/>
          <w:szCs w:val="20"/>
        </w:rPr>
      </w:pPr>
      <w:r>
        <w:rPr>
          <w:vertAlign w:val="superscript"/>
        </w:rPr>
        <w:footnoteRef/>
      </w:r>
      <w:r>
        <w:rPr>
          <w:color w:val="000000"/>
          <w:sz w:val="20"/>
          <w:szCs w:val="20"/>
        </w:rPr>
        <w:t xml:space="preserve"> </w:t>
      </w:r>
      <w:r>
        <w:rPr>
          <w:i/>
          <w:color w:val="000000"/>
          <w:sz w:val="20"/>
          <w:szCs w:val="20"/>
        </w:rPr>
        <w:t>Eiropas Jūrlietu un zivsaimniecības fonda pasākuma 43.02 “Sabiedrības virzītas vietējās attīstības stratēģiju īstenošana” 3.mērķa “Dabas resursu un kultūrvēsturiskā mantojuma ilgtspējīga apsaimniekošana un izmantošana” 3.rīcības “Atbalsts zvejas vai jūras kultūras mantojuma saglabāšanai un izmantošanas veicināšanai”</w:t>
      </w:r>
    </w:p>
  </w:footnote>
  <w:footnote w:id="4">
    <w:p w:rsidR="006C3F7E" w:rsidRDefault="00DF2A38">
      <w:pPr>
        <w:pBdr>
          <w:top w:val="nil"/>
          <w:left w:val="nil"/>
          <w:bottom w:val="nil"/>
          <w:right w:val="nil"/>
          <w:between w:val="nil"/>
        </w:pBdr>
        <w:spacing w:after="0"/>
        <w:rPr>
          <w:color w:val="000000"/>
          <w:sz w:val="20"/>
          <w:szCs w:val="20"/>
        </w:rPr>
      </w:pPr>
      <w:r>
        <w:rPr>
          <w:vertAlign w:val="superscript"/>
        </w:rPr>
        <w:footnoteRef/>
      </w:r>
      <w:r>
        <w:rPr>
          <w:color w:val="000000"/>
          <w:sz w:val="20"/>
          <w:szCs w:val="20"/>
        </w:rPr>
        <w:t xml:space="preserve"> Dabas izglītības centra piedāvājums: </w:t>
      </w:r>
      <w:hyperlink r:id="rId2">
        <w:r>
          <w:rPr>
            <w:color w:val="0563C1"/>
            <w:sz w:val="20"/>
            <w:szCs w:val="20"/>
            <w:u w:val="single"/>
          </w:rPr>
          <w:t>https://www.daba.gov.lv/public/lat/vides_izglitiba/dabas_izglitibas_centri/dabas_izglitibas_centrs_meza_maja/</w:t>
        </w:r>
      </w:hyperlink>
      <w:r>
        <w:rPr>
          <w:color w:val="000000"/>
          <w:sz w:val="20"/>
          <w:szCs w:val="20"/>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C3F7E"/>
    <w:rsid w:val="00160B51"/>
    <w:rsid w:val="002A13EB"/>
    <w:rsid w:val="00444E30"/>
    <w:rsid w:val="006374C8"/>
    <w:rsid w:val="00682E99"/>
    <w:rsid w:val="006C3F7E"/>
    <w:rsid w:val="006F23C5"/>
    <w:rsid w:val="00701024"/>
    <w:rsid w:val="008A52F5"/>
    <w:rsid w:val="009F3D8E"/>
    <w:rsid w:val="00A63D1A"/>
    <w:rsid w:val="00C12354"/>
    <w:rsid w:val="00CD6145"/>
    <w:rsid w:val="00D253A6"/>
    <w:rsid w:val="00DF2A38"/>
    <w:rsid w:val="00E35C36"/>
    <w:rsid w:val="00EB7E06"/>
    <w:rsid w:val="00EE5A9F"/>
    <w:rsid w:val="00EF77E4"/>
    <w:rsid w:val="00F00A7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2E6FA5-BEDD-4417-8071-DB05A8D0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lv-LV" w:eastAsia="lv-LV"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rPr>
      <w:rFonts w:ascii="Calibri" w:eastAsia="Calibri" w:hAnsi="Calibri" w:cs="Calibri"/>
      <w:color w:val="5A5A5A"/>
      <w:sz w:val="22"/>
      <w:szCs w:val="22"/>
    </w:rPr>
  </w:style>
  <w:style w:type="table" w:customStyle="1" w:styleId="a">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A52F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52F5"/>
    <w:rPr>
      <w:rFonts w:ascii="Segoe UI" w:hAnsi="Segoe UI" w:cs="Segoe UI"/>
      <w:sz w:val="18"/>
      <w:szCs w:val="18"/>
    </w:rPr>
  </w:style>
  <w:style w:type="paragraph" w:styleId="Header">
    <w:name w:val="header"/>
    <w:basedOn w:val="Normal"/>
    <w:link w:val="HeaderChar"/>
    <w:uiPriority w:val="99"/>
    <w:unhideWhenUsed/>
    <w:rsid w:val="009F3D8E"/>
    <w:pPr>
      <w:tabs>
        <w:tab w:val="center" w:pos="4680"/>
        <w:tab w:val="right" w:pos="9360"/>
      </w:tabs>
      <w:spacing w:after="0"/>
    </w:pPr>
  </w:style>
  <w:style w:type="character" w:customStyle="1" w:styleId="HeaderChar">
    <w:name w:val="Header Char"/>
    <w:basedOn w:val="DefaultParagraphFont"/>
    <w:link w:val="Header"/>
    <w:uiPriority w:val="99"/>
    <w:rsid w:val="009F3D8E"/>
  </w:style>
  <w:style w:type="paragraph" w:styleId="Footer">
    <w:name w:val="footer"/>
    <w:basedOn w:val="Normal"/>
    <w:link w:val="FooterChar"/>
    <w:uiPriority w:val="99"/>
    <w:unhideWhenUsed/>
    <w:rsid w:val="009F3D8E"/>
    <w:pPr>
      <w:tabs>
        <w:tab w:val="center" w:pos="4680"/>
        <w:tab w:val="right" w:pos="9360"/>
      </w:tabs>
      <w:spacing w:after="0"/>
    </w:pPr>
  </w:style>
  <w:style w:type="character" w:customStyle="1" w:styleId="FooterChar">
    <w:name w:val="Footer Char"/>
    <w:basedOn w:val="DefaultParagraphFont"/>
    <w:link w:val="Footer"/>
    <w:uiPriority w:val="99"/>
    <w:rsid w:val="009F3D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www.daba.gov.lv/public/lat/vides_izglitiba/dabas_izglitibas_centri/dabas_izglitibas_centrs_meza_maja/" TargetMode="External"/><Relationship Id="rId1" Type="http://schemas.openxmlformats.org/officeDocument/2006/relationships/hyperlink" Target="http://coastalhiking.eu/lv/tour/fa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53CD5-46BA-499B-B5CD-ECC71EE99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1938</Words>
  <Characters>11050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14</cp:revision>
  <dcterms:created xsi:type="dcterms:W3CDTF">2018-10-14T16:20:00Z</dcterms:created>
  <dcterms:modified xsi:type="dcterms:W3CDTF">2019-03-05T07:33:00Z</dcterms:modified>
</cp:coreProperties>
</file>