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F57" w:rsidRDefault="00CE7CDB">
      <w:pPr>
        <w:jc w:val="center"/>
        <w:rPr>
          <w:b/>
          <w:sz w:val="20"/>
          <w:szCs w:val="20"/>
        </w:rPr>
      </w:pPr>
      <w:r>
        <w:rPr>
          <w:b/>
          <w:sz w:val="20"/>
          <w:szCs w:val="20"/>
        </w:rPr>
        <w:t xml:space="preserve">Īpaši aizsargājamā dabas teritorijā esošo dabas tūrisma un izziņas infrastruktūras objektu </w:t>
      </w:r>
      <w:proofErr w:type="spellStart"/>
      <w:r>
        <w:rPr>
          <w:b/>
          <w:sz w:val="20"/>
          <w:szCs w:val="20"/>
        </w:rPr>
        <w:t>izvērtējums</w:t>
      </w:r>
      <w:proofErr w:type="spellEnd"/>
    </w:p>
    <w:p w:rsidR="00B83F57" w:rsidRDefault="00B83F57">
      <w:pPr>
        <w:jc w:val="center"/>
        <w:rPr>
          <w:sz w:val="20"/>
          <w:szCs w:val="20"/>
        </w:rPr>
      </w:pPr>
    </w:p>
    <w:tbl>
      <w:tblPr>
        <w:tblStyle w:val="a"/>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1821"/>
        <w:gridCol w:w="3118"/>
        <w:gridCol w:w="3969"/>
        <w:gridCol w:w="1843"/>
        <w:gridCol w:w="3707"/>
      </w:tblGrid>
      <w:tr w:rsidR="00B83F57" w:rsidTr="00012224">
        <w:trPr>
          <w:trHeight w:val="960"/>
        </w:trPr>
        <w:tc>
          <w:tcPr>
            <w:tcW w:w="421" w:type="dxa"/>
            <w:vMerge w:val="restart"/>
          </w:tcPr>
          <w:p w:rsidR="00B83F57" w:rsidRDefault="00CE7CDB">
            <w:pPr>
              <w:rPr>
                <w:sz w:val="20"/>
                <w:szCs w:val="20"/>
              </w:rPr>
            </w:pPr>
            <w:r>
              <w:rPr>
                <w:sz w:val="20"/>
                <w:szCs w:val="20"/>
              </w:rPr>
              <w:t>Nr.</w:t>
            </w:r>
          </w:p>
        </w:tc>
        <w:tc>
          <w:tcPr>
            <w:tcW w:w="1821" w:type="dxa"/>
            <w:vMerge w:val="restart"/>
          </w:tcPr>
          <w:p w:rsidR="00B83F57" w:rsidRDefault="00CE7CDB">
            <w:pPr>
              <w:rPr>
                <w:sz w:val="20"/>
                <w:szCs w:val="20"/>
              </w:rPr>
            </w:pPr>
            <w:r>
              <w:rPr>
                <w:sz w:val="20"/>
                <w:szCs w:val="20"/>
              </w:rPr>
              <w:t>Objekta nosaukums</w:t>
            </w:r>
          </w:p>
        </w:tc>
        <w:tc>
          <w:tcPr>
            <w:tcW w:w="3118" w:type="dxa"/>
            <w:vMerge w:val="restart"/>
          </w:tcPr>
          <w:p w:rsidR="00B83F57" w:rsidRDefault="00CE7CDB">
            <w:pPr>
              <w:rPr>
                <w:sz w:val="20"/>
                <w:szCs w:val="20"/>
              </w:rPr>
            </w:pPr>
            <w:r>
              <w:rPr>
                <w:sz w:val="20"/>
                <w:szCs w:val="20"/>
              </w:rPr>
              <w:t>Pašreizējā objekta kvalitāte</w:t>
            </w:r>
          </w:p>
          <w:p w:rsidR="00B83F57" w:rsidRDefault="00B83F57">
            <w:pPr>
              <w:rPr>
                <w:sz w:val="20"/>
                <w:szCs w:val="20"/>
              </w:rPr>
            </w:pPr>
          </w:p>
          <w:p w:rsidR="00B83F57" w:rsidRDefault="00B83F57">
            <w:pPr>
              <w:rPr>
                <w:sz w:val="20"/>
                <w:szCs w:val="20"/>
              </w:rPr>
            </w:pPr>
          </w:p>
          <w:p w:rsidR="00B83F57" w:rsidRDefault="00CE7CDB">
            <w:pPr>
              <w:rPr>
                <w:sz w:val="20"/>
                <w:szCs w:val="20"/>
              </w:rPr>
            </w:pPr>
            <w:r>
              <w:rPr>
                <w:sz w:val="20"/>
                <w:szCs w:val="20"/>
              </w:rPr>
              <w:t>laba/slikta/apmierinoša (īss skaidrojums)</w:t>
            </w:r>
          </w:p>
        </w:tc>
        <w:tc>
          <w:tcPr>
            <w:tcW w:w="3969" w:type="dxa"/>
            <w:vMerge w:val="restart"/>
          </w:tcPr>
          <w:p w:rsidR="00B83F57" w:rsidRDefault="00CE7CDB">
            <w:pPr>
              <w:rPr>
                <w:sz w:val="20"/>
                <w:szCs w:val="20"/>
              </w:rPr>
            </w:pPr>
            <w:r>
              <w:rPr>
                <w:sz w:val="20"/>
                <w:szCs w:val="20"/>
              </w:rPr>
              <w:t>Vai sasniegts mērķis, kam objekta izveide ir kalpojusi/ mērķa sasniegšanas efektivitāte.</w:t>
            </w:r>
          </w:p>
          <w:p w:rsidR="00B83F57" w:rsidRDefault="00CE7CDB">
            <w:pPr>
              <w:rPr>
                <w:sz w:val="20"/>
                <w:szCs w:val="20"/>
              </w:rPr>
            </w:pPr>
            <w:r>
              <w:rPr>
                <w:sz w:val="20"/>
                <w:szCs w:val="20"/>
              </w:rPr>
              <w:t>Ir/nav (īss skaidrojums, apraksts)</w:t>
            </w:r>
          </w:p>
        </w:tc>
        <w:tc>
          <w:tcPr>
            <w:tcW w:w="1843" w:type="dxa"/>
            <w:vMerge w:val="restart"/>
          </w:tcPr>
          <w:p w:rsidR="00B83F57" w:rsidRDefault="00CE7CDB">
            <w:pPr>
              <w:rPr>
                <w:sz w:val="20"/>
                <w:szCs w:val="20"/>
              </w:rPr>
            </w:pPr>
            <w:r>
              <w:rPr>
                <w:sz w:val="20"/>
                <w:szCs w:val="20"/>
              </w:rPr>
              <w:t>Objekta uzturēšana un apsaimniekošana</w:t>
            </w:r>
          </w:p>
          <w:p w:rsidR="00B83F57" w:rsidRDefault="00CE7CDB">
            <w:pPr>
              <w:rPr>
                <w:sz w:val="20"/>
                <w:szCs w:val="20"/>
              </w:rPr>
            </w:pPr>
            <w:r>
              <w:rPr>
                <w:sz w:val="20"/>
                <w:szCs w:val="20"/>
              </w:rPr>
              <w:t>Tiek veikta/netiek</w:t>
            </w:r>
          </w:p>
          <w:p w:rsidR="00B83F57" w:rsidRDefault="00CE7CDB">
            <w:pPr>
              <w:rPr>
                <w:sz w:val="20"/>
                <w:szCs w:val="20"/>
              </w:rPr>
            </w:pPr>
            <w:r>
              <w:rPr>
                <w:sz w:val="20"/>
                <w:szCs w:val="20"/>
              </w:rPr>
              <w:t>(īss apraksts, kurš veic, regularitāte)</w:t>
            </w:r>
          </w:p>
        </w:tc>
        <w:tc>
          <w:tcPr>
            <w:tcW w:w="3707" w:type="dxa"/>
            <w:vMerge w:val="restart"/>
          </w:tcPr>
          <w:p w:rsidR="00B83F57" w:rsidRDefault="00CE7CDB">
            <w:pPr>
              <w:rPr>
                <w:sz w:val="20"/>
                <w:szCs w:val="20"/>
              </w:rPr>
            </w:pPr>
            <w:r>
              <w:rPr>
                <w:sz w:val="20"/>
                <w:szCs w:val="20"/>
              </w:rPr>
              <w:t>Ieteikumi turpmākajai objekta apsaimniekošanai</w:t>
            </w:r>
          </w:p>
        </w:tc>
      </w:tr>
      <w:tr w:rsidR="00B83F57" w:rsidTr="00012224">
        <w:trPr>
          <w:trHeight w:val="500"/>
        </w:trPr>
        <w:tc>
          <w:tcPr>
            <w:tcW w:w="421" w:type="dxa"/>
            <w:vMerge/>
          </w:tcPr>
          <w:p w:rsidR="00B83F57" w:rsidRDefault="00B83F57">
            <w:pPr>
              <w:widowControl w:val="0"/>
              <w:pBdr>
                <w:top w:val="nil"/>
                <w:left w:val="nil"/>
                <w:bottom w:val="nil"/>
                <w:right w:val="nil"/>
                <w:between w:val="nil"/>
              </w:pBdr>
              <w:spacing w:after="0" w:line="276" w:lineRule="auto"/>
              <w:rPr>
                <w:sz w:val="20"/>
                <w:szCs w:val="20"/>
              </w:rPr>
            </w:pPr>
          </w:p>
        </w:tc>
        <w:tc>
          <w:tcPr>
            <w:tcW w:w="1821" w:type="dxa"/>
            <w:vMerge/>
          </w:tcPr>
          <w:p w:rsidR="00B83F57" w:rsidRDefault="00B83F57">
            <w:pPr>
              <w:widowControl w:val="0"/>
              <w:pBdr>
                <w:top w:val="nil"/>
                <w:left w:val="nil"/>
                <w:bottom w:val="nil"/>
                <w:right w:val="nil"/>
                <w:between w:val="nil"/>
              </w:pBdr>
              <w:spacing w:after="0" w:line="276" w:lineRule="auto"/>
              <w:rPr>
                <w:sz w:val="20"/>
                <w:szCs w:val="20"/>
              </w:rPr>
            </w:pPr>
          </w:p>
        </w:tc>
        <w:tc>
          <w:tcPr>
            <w:tcW w:w="3118" w:type="dxa"/>
            <w:vMerge/>
          </w:tcPr>
          <w:p w:rsidR="00B83F57" w:rsidRDefault="00B83F57">
            <w:pPr>
              <w:widowControl w:val="0"/>
              <w:pBdr>
                <w:top w:val="nil"/>
                <w:left w:val="nil"/>
                <w:bottom w:val="nil"/>
                <w:right w:val="nil"/>
                <w:between w:val="nil"/>
              </w:pBdr>
              <w:spacing w:after="0" w:line="276" w:lineRule="auto"/>
              <w:rPr>
                <w:sz w:val="20"/>
                <w:szCs w:val="20"/>
              </w:rPr>
            </w:pPr>
          </w:p>
        </w:tc>
        <w:tc>
          <w:tcPr>
            <w:tcW w:w="3969" w:type="dxa"/>
            <w:vMerge/>
          </w:tcPr>
          <w:p w:rsidR="00B83F57" w:rsidRDefault="00B83F57">
            <w:pPr>
              <w:widowControl w:val="0"/>
              <w:pBdr>
                <w:top w:val="nil"/>
                <w:left w:val="nil"/>
                <w:bottom w:val="nil"/>
                <w:right w:val="nil"/>
                <w:between w:val="nil"/>
              </w:pBdr>
              <w:spacing w:after="0" w:line="276" w:lineRule="auto"/>
              <w:rPr>
                <w:sz w:val="20"/>
                <w:szCs w:val="20"/>
              </w:rPr>
            </w:pPr>
          </w:p>
        </w:tc>
        <w:tc>
          <w:tcPr>
            <w:tcW w:w="1843" w:type="dxa"/>
            <w:vMerge/>
          </w:tcPr>
          <w:p w:rsidR="00B83F57" w:rsidRDefault="00B83F57">
            <w:pPr>
              <w:widowControl w:val="0"/>
              <w:pBdr>
                <w:top w:val="nil"/>
                <w:left w:val="nil"/>
                <w:bottom w:val="nil"/>
                <w:right w:val="nil"/>
                <w:between w:val="nil"/>
              </w:pBdr>
              <w:spacing w:after="0" w:line="276" w:lineRule="auto"/>
              <w:rPr>
                <w:sz w:val="20"/>
                <w:szCs w:val="20"/>
              </w:rPr>
            </w:pPr>
          </w:p>
        </w:tc>
        <w:tc>
          <w:tcPr>
            <w:tcW w:w="3707" w:type="dxa"/>
            <w:vMerge/>
          </w:tcPr>
          <w:p w:rsidR="00B83F57" w:rsidRDefault="00B83F57">
            <w:pPr>
              <w:widowControl w:val="0"/>
              <w:pBdr>
                <w:top w:val="nil"/>
                <w:left w:val="nil"/>
                <w:bottom w:val="nil"/>
                <w:right w:val="nil"/>
                <w:between w:val="nil"/>
              </w:pBdr>
              <w:spacing w:after="0" w:line="276" w:lineRule="auto"/>
              <w:rPr>
                <w:sz w:val="20"/>
                <w:szCs w:val="20"/>
              </w:rPr>
            </w:pPr>
          </w:p>
        </w:tc>
      </w:tr>
      <w:tr w:rsidR="00B83F57" w:rsidTr="00012224">
        <w:tc>
          <w:tcPr>
            <w:tcW w:w="421" w:type="dxa"/>
          </w:tcPr>
          <w:p w:rsidR="00B83F57" w:rsidRDefault="00B83F57">
            <w:pPr>
              <w:rPr>
                <w:sz w:val="20"/>
                <w:szCs w:val="20"/>
              </w:rPr>
            </w:pPr>
          </w:p>
          <w:p w:rsidR="00B83F57" w:rsidRDefault="00CE7CDB">
            <w:pPr>
              <w:rPr>
                <w:sz w:val="20"/>
                <w:szCs w:val="20"/>
              </w:rPr>
            </w:pPr>
            <w:r>
              <w:rPr>
                <w:sz w:val="20"/>
                <w:szCs w:val="20"/>
              </w:rPr>
              <w:t>1.</w:t>
            </w:r>
          </w:p>
        </w:tc>
        <w:tc>
          <w:tcPr>
            <w:tcW w:w="1821" w:type="dxa"/>
          </w:tcPr>
          <w:p w:rsidR="00B83F57" w:rsidRDefault="00CE7CDB">
            <w:pPr>
              <w:rPr>
                <w:sz w:val="20"/>
                <w:szCs w:val="20"/>
              </w:rPr>
            </w:pPr>
            <w:r>
              <w:rPr>
                <w:sz w:val="20"/>
                <w:szCs w:val="20"/>
              </w:rPr>
              <w:t xml:space="preserve">LVM izveidotā 850m garā pastaigu taka (koka laipas, masīvkoka soliņi, atkritumu tvertnes) </w:t>
            </w:r>
          </w:p>
        </w:tc>
        <w:tc>
          <w:tcPr>
            <w:tcW w:w="3118" w:type="dxa"/>
          </w:tcPr>
          <w:p w:rsidR="00B83F57" w:rsidRDefault="00CE7CDB">
            <w:pPr>
              <w:rPr>
                <w:sz w:val="20"/>
                <w:szCs w:val="20"/>
              </w:rPr>
            </w:pPr>
            <w:r>
              <w:rPr>
                <w:sz w:val="20"/>
                <w:szCs w:val="20"/>
              </w:rPr>
              <w:t>Pašreizējā objekta kvalitāte ir laba. Taka ir izveidota kvalitatīvi, tiek regulāri uzturēta un atjaunota. Atkritumu tvertnes tiek regulāri tukšotas.</w:t>
            </w:r>
          </w:p>
        </w:tc>
        <w:tc>
          <w:tcPr>
            <w:tcW w:w="3969" w:type="dxa"/>
          </w:tcPr>
          <w:p w:rsidR="00B83F57" w:rsidRDefault="00CE7CDB">
            <w:pPr>
              <w:jc w:val="both"/>
              <w:rPr>
                <w:sz w:val="20"/>
                <w:szCs w:val="20"/>
              </w:rPr>
            </w:pPr>
            <w:r>
              <w:rPr>
                <w:sz w:val="20"/>
                <w:szCs w:val="20"/>
              </w:rPr>
              <w:t>Ir sasniegts mērķis – mazināt antropoloģisko slodzi parkā un īpaši uz mežainajām kāpām, informēt sabiedrību un radīt patīkamu noeju līdz jūrai – ar kādu šis objekts ticis izveidots.</w:t>
            </w:r>
          </w:p>
        </w:tc>
        <w:tc>
          <w:tcPr>
            <w:tcW w:w="1843" w:type="dxa"/>
          </w:tcPr>
          <w:p w:rsidR="00B83F57" w:rsidRDefault="00CE7CDB">
            <w:pPr>
              <w:rPr>
                <w:sz w:val="20"/>
                <w:szCs w:val="20"/>
              </w:rPr>
            </w:pPr>
            <w:r>
              <w:rPr>
                <w:sz w:val="20"/>
                <w:szCs w:val="20"/>
              </w:rPr>
              <w:t>Taka ir izveidota kvalitatīvi, tiek regulāri uzturēta un atjaunota. Atkritumu tvertnes tiek regulāri tukšotas. Apsaimniekošanu veic LVM.</w:t>
            </w:r>
          </w:p>
        </w:tc>
        <w:tc>
          <w:tcPr>
            <w:tcW w:w="3707" w:type="dxa"/>
          </w:tcPr>
          <w:p w:rsidR="00B83F57" w:rsidRDefault="00CE7CDB">
            <w:pPr>
              <w:jc w:val="both"/>
              <w:rPr>
                <w:sz w:val="20"/>
                <w:szCs w:val="20"/>
              </w:rPr>
            </w:pPr>
            <w:r>
              <w:rPr>
                <w:sz w:val="20"/>
                <w:szCs w:val="20"/>
              </w:rPr>
              <w:t>Tiek rekomendēts atkritumu tvertnēm pierīkot vākus, lai izmestos atkritumus neizvazātu putni un dzīvnieki.</w:t>
            </w:r>
          </w:p>
          <w:p w:rsidR="00B83F57" w:rsidRDefault="00CE7CDB" w:rsidP="00012224">
            <w:pPr>
              <w:jc w:val="both"/>
              <w:rPr>
                <w:sz w:val="20"/>
                <w:szCs w:val="20"/>
              </w:rPr>
            </w:pPr>
            <w:r>
              <w:rPr>
                <w:sz w:val="20"/>
                <w:szCs w:val="20"/>
              </w:rPr>
              <w:t xml:space="preserve">Takas </w:t>
            </w:r>
            <w:proofErr w:type="spellStart"/>
            <w:r>
              <w:rPr>
                <w:sz w:val="20"/>
                <w:szCs w:val="20"/>
              </w:rPr>
              <w:t>apsaimniekotājiem</w:t>
            </w:r>
            <w:proofErr w:type="spellEnd"/>
            <w:r>
              <w:rPr>
                <w:sz w:val="20"/>
                <w:szCs w:val="20"/>
              </w:rPr>
              <w:t xml:space="preserve"> būtu jāpievērš papildus uzmanība urnām, kas izvietotas tuvāk daudzstāvu māju rajonam, jo tur tās tiek aizpildītas daudz ātrāk.</w:t>
            </w:r>
          </w:p>
        </w:tc>
      </w:tr>
      <w:tr w:rsidR="00B83F57" w:rsidTr="00012224">
        <w:tc>
          <w:tcPr>
            <w:tcW w:w="421" w:type="dxa"/>
          </w:tcPr>
          <w:p w:rsidR="00B83F57" w:rsidRDefault="00CE7CDB">
            <w:pPr>
              <w:rPr>
                <w:sz w:val="20"/>
                <w:szCs w:val="20"/>
              </w:rPr>
            </w:pPr>
            <w:r>
              <w:rPr>
                <w:sz w:val="20"/>
                <w:szCs w:val="20"/>
              </w:rPr>
              <w:t>2.</w:t>
            </w:r>
          </w:p>
        </w:tc>
        <w:tc>
          <w:tcPr>
            <w:tcW w:w="1821" w:type="dxa"/>
          </w:tcPr>
          <w:p w:rsidR="00B83F57" w:rsidRDefault="00CE7CDB">
            <w:pPr>
              <w:jc w:val="both"/>
              <w:rPr>
                <w:sz w:val="20"/>
                <w:szCs w:val="20"/>
              </w:rPr>
            </w:pPr>
            <w:r>
              <w:rPr>
                <w:sz w:val="20"/>
                <w:szCs w:val="20"/>
              </w:rPr>
              <w:t>Dabas aizsardzības pārvalde (DAP) izveidotā pastaigu taka ~2km garumā ( posmi ar šķembām un granti, kā arī koka laipas, soliņi, skatu platformas, kāpnes un informācijas stendi)</w:t>
            </w:r>
          </w:p>
          <w:p w:rsidR="00B83F57" w:rsidRDefault="00B83F57">
            <w:pPr>
              <w:rPr>
                <w:sz w:val="20"/>
                <w:szCs w:val="20"/>
              </w:rPr>
            </w:pPr>
          </w:p>
        </w:tc>
        <w:tc>
          <w:tcPr>
            <w:tcW w:w="3118" w:type="dxa"/>
          </w:tcPr>
          <w:p w:rsidR="00B83F57" w:rsidRDefault="00CE7CDB">
            <w:pPr>
              <w:rPr>
                <w:sz w:val="20"/>
                <w:szCs w:val="20"/>
              </w:rPr>
            </w:pPr>
            <w:r>
              <w:rPr>
                <w:sz w:val="20"/>
                <w:szCs w:val="20"/>
              </w:rPr>
              <w:t xml:space="preserve">Objekta kvalitāte ir ļoti laba. </w:t>
            </w:r>
          </w:p>
          <w:p w:rsidR="00B83F57" w:rsidRDefault="00CE7CDB">
            <w:pPr>
              <w:rPr>
                <w:sz w:val="20"/>
                <w:szCs w:val="20"/>
              </w:rPr>
            </w:pPr>
            <w:r>
              <w:rPr>
                <w:sz w:val="20"/>
                <w:szCs w:val="20"/>
              </w:rPr>
              <w:t>Taka un tai piederošie infrastruktūras objekti (kāpnes, platformas, stendi, soliņi) ir izveidoti kvalitatīvi, nav tikuši demolēti, to kvalitāte nav mainījusies kopš objekta nodošanas ekspluatācijā.</w:t>
            </w:r>
          </w:p>
        </w:tc>
        <w:tc>
          <w:tcPr>
            <w:tcW w:w="3969" w:type="dxa"/>
          </w:tcPr>
          <w:p w:rsidR="00B83F57" w:rsidRDefault="00CE7CDB">
            <w:pPr>
              <w:jc w:val="both"/>
              <w:rPr>
                <w:sz w:val="20"/>
                <w:szCs w:val="20"/>
              </w:rPr>
            </w:pPr>
            <w:r>
              <w:rPr>
                <w:sz w:val="20"/>
                <w:szCs w:val="20"/>
              </w:rPr>
              <w:t xml:space="preserve">Izveidotā taka radīta, lai mazinātu antropogēno slodzi, īpaši uz mežainajām kāpām, un novirzītu apmeklētāju plūsmas pa marķētu maršrutu, mazinot nomīdīšanu un plašu taku tīkla attīstīšanos. Taka ir izveidota kvalitatīvi un pilda savu mērķi. Teritorijā, kurā izvietota taka, zemsedzes </w:t>
            </w:r>
            <w:bookmarkStart w:id="0" w:name="_GoBack"/>
            <w:bookmarkEnd w:id="0"/>
            <w:r>
              <w:rPr>
                <w:sz w:val="20"/>
                <w:szCs w:val="20"/>
              </w:rPr>
              <w:t>nomīdīšana ir nedaudz samazinājusies, bet, lai izmērītu takas efektivitāti, jāveic apmeklētāju plūsmas pētījums iekļaujot iedzīvotāju un apmeklētāju anketēšanu, kā arī specifisks antropogēnās noslodzes pētīšanas projekts, fiksējot taku tīkla noslodzi/jaunu taku veidošanās intensitāti utt.</w:t>
            </w:r>
          </w:p>
          <w:p w:rsidR="00B83F57" w:rsidRDefault="00B83F57">
            <w:pPr>
              <w:jc w:val="both"/>
              <w:rPr>
                <w:sz w:val="20"/>
                <w:szCs w:val="20"/>
              </w:rPr>
            </w:pPr>
          </w:p>
        </w:tc>
        <w:tc>
          <w:tcPr>
            <w:tcW w:w="1843" w:type="dxa"/>
          </w:tcPr>
          <w:p w:rsidR="00B83F57" w:rsidRDefault="00CE7CDB">
            <w:pPr>
              <w:rPr>
                <w:sz w:val="20"/>
                <w:szCs w:val="20"/>
              </w:rPr>
            </w:pPr>
            <w:r>
              <w:rPr>
                <w:sz w:val="20"/>
                <w:szCs w:val="20"/>
              </w:rPr>
              <w:lastRenderedPageBreak/>
              <w:t xml:space="preserve">Objekta uzturēšana un apsaimniekošana tiek veikta regulāri, to veic Dabas aizsardzības pārvaldes Pierīgas administrācija. </w:t>
            </w:r>
          </w:p>
        </w:tc>
        <w:tc>
          <w:tcPr>
            <w:tcW w:w="3707" w:type="dxa"/>
          </w:tcPr>
          <w:p w:rsidR="00012224" w:rsidRPr="00012224" w:rsidRDefault="00CE7CDB">
            <w:pPr>
              <w:jc w:val="both"/>
              <w:rPr>
                <w:color w:val="FF0000"/>
                <w:sz w:val="20"/>
                <w:szCs w:val="20"/>
              </w:rPr>
            </w:pPr>
            <w:r>
              <w:rPr>
                <w:sz w:val="20"/>
                <w:szCs w:val="20"/>
              </w:rPr>
              <w:t xml:space="preserve">Būtu ieteicams ierīkot vismaz vienu soliņu pie skatu </w:t>
            </w:r>
            <w:r w:rsidRPr="00012224">
              <w:rPr>
                <w:sz w:val="20"/>
                <w:szCs w:val="20"/>
              </w:rPr>
              <w:t xml:space="preserve">platformas </w:t>
            </w:r>
          </w:p>
          <w:p w:rsidR="00B83F57" w:rsidRDefault="00CE7CDB">
            <w:pPr>
              <w:jc w:val="both"/>
              <w:rPr>
                <w:smallCaps/>
                <w:color w:val="FF0000"/>
                <w:sz w:val="20"/>
                <w:szCs w:val="20"/>
              </w:rPr>
            </w:pPr>
            <w:r w:rsidRPr="00012224">
              <w:rPr>
                <w:sz w:val="20"/>
                <w:szCs w:val="20"/>
              </w:rPr>
              <w:t>Info stends “Priežu taka” atrodas pārāk tālu no laipas, lai to normāli salasītu. Šis info stends ir jāpārvieto tuvāk takai, vai jālikvidē pēc konsultēšanās ar DAP pārstāvjiem par tur esošās informācijas</w:t>
            </w:r>
            <w:r w:rsidR="00012224" w:rsidRPr="00012224">
              <w:rPr>
                <w:sz w:val="20"/>
                <w:szCs w:val="20"/>
              </w:rPr>
              <w:t xml:space="preserve"> aktualitāti.</w:t>
            </w:r>
          </w:p>
          <w:p w:rsidR="00B83F57" w:rsidRDefault="00CE7CDB">
            <w:pPr>
              <w:jc w:val="both"/>
              <w:rPr>
                <w:sz w:val="20"/>
                <w:szCs w:val="20"/>
              </w:rPr>
            </w:pPr>
            <w:r>
              <w:rPr>
                <w:sz w:val="20"/>
                <w:szCs w:val="20"/>
              </w:rPr>
              <w:t xml:space="preserve">Visas takas garumā nav nevienas atkritumu tvertnes, kas veicina atkritumu izmešanas iespējamību dabā. Ja netiek ierīkotas atkritumu tvertnes, būtu vērts apsvērt informatīvas zīmes “Ko ienesi, to iznes” </w:t>
            </w:r>
            <w:r>
              <w:rPr>
                <w:sz w:val="20"/>
                <w:szCs w:val="20"/>
              </w:rPr>
              <w:lastRenderedPageBreak/>
              <w:t>izvietošanu, kā arī norādi uz tuvāko atkritumu tvertnes atrašanās vietu.</w:t>
            </w:r>
          </w:p>
        </w:tc>
      </w:tr>
      <w:tr w:rsidR="00B83F57" w:rsidTr="00012224">
        <w:tc>
          <w:tcPr>
            <w:tcW w:w="421" w:type="dxa"/>
          </w:tcPr>
          <w:p w:rsidR="00B83F57" w:rsidRDefault="00CE7CDB">
            <w:pPr>
              <w:rPr>
                <w:sz w:val="20"/>
                <w:szCs w:val="20"/>
              </w:rPr>
            </w:pPr>
            <w:r>
              <w:rPr>
                <w:sz w:val="20"/>
                <w:szCs w:val="20"/>
              </w:rPr>
              <w:lastRenderedPageBreak/>
              <w:t xml:space="preserve">3. </w:t>
            </w:r>
          </w:p>
        </w:tc>
        <w:tc>
          <w:tcPr>
            <w:tcW w:w="1821" w:type="dxa"/>
          </w:tcPr>
          <w:p w:rsidR="00B83F57" w:rsidRDefault="00CE7CDB">
            <w:pPr>
              <w:jc w:val="both"/>
              <w:rPr>
                <w:sz w:val="20"/>
                <w:szCs w:val="20"/>
              </w:rPr>
            </w:pPr>
            <w:r>
              <w:rPr>
                <w:sz w:val="20"/>
                <w:szCs w:val="20"/>
              </w:rPr>
              <w:t>LIF</w:t>
            </w:r>
            <w:r w:rsidR="00012224">
              <w:rPr>
                <w:sz w:val="20"/>
                <w:szCs w:val="20"/>
              </w:rPr>
              <w:t>E projekta ietvaros Pašvaldības</w:t>
            </w:r>
            <w:r>
              <w:rPr>
                <w:sz w:val="20"/>
                <w:szCs w:val="20"/>
              </w:rPr>
              <w:t xml:space="preserve"> veiktā tūrisma taku, veloceliņa, kā arī noeju uz jūru izveide DP teritorijā. (</w:t>
            </w:r>
            <w:proofErr w:type="spellStart"/>
            <w:r>
              <w:rPr>
                <w:sz w:val="20"/>
                <w:szCs w:val="20"/>
              </w:rPr>
              <w:t>infr.objektu</w:t>
            </w:r>
            <w:proofErr w:type="spellEnd"/>
            <w:r>
              <w:rPr>
                <w:sz w:val="20"/>
                <w:szCs w:val="20"/>
              </w:rPr>
              <w:t xml:space="preserve"> slānis (līnijas), objekts </w:t>
            </w:r>
            <w:proofErr w:type="spellStart"/>
            <w:r>
              <w:rPr>
                <w:sz w:val="20"/>
                <w:szCs w:val="20"/>
              </w:rPr>
              <w:t>Nr</w:t>
            </w:r>
            <w:proofErr w:type="spellEnd"/>
            <w:r>
              <w:rPr>
                <w:sz w:val="20"/>
                <w:szCs w:val="20"/>
              </w:rPr>
              <w:t xml:space="preserve"> 98)</w:t>
            </w:r>
          </w:p>
        </w:tc>
        <w:tc>
          <w:tcPr>
            <w:tcW w:w="3118" w:type="dxa"/>
          </w:tcPr>
          <w:p w:rsidR="00B83F57" w:rsidRDefault="00CE7CDB">
            <w:pPr>
              <w:rPr>
                <w:sz w:val="20"/>
                <w:szCs w:val="20"/>
              </w:rPr>
            </w:pPr>
            <w:r>
              <w:rPr>
                <w:sz w:val="20"/>
                <w:szCs w:val="20"/>
              </w:rPr>
              <w:t>Objekta kvalitāte ir laba.</w:t>
            </w:r>
          </w:p>
          <w:p w:rsidR="00B83F57" w:rsidRDefault="00CE7CDB">
            <w:pPr>
              <w:rPr>
                <w:sz w:val="20"/>
                <w:szCs w:val="20"/>
              </w:rPr>
            </w:pPr>
            <w:r>
              <w:rPr>
                <w:sz w:val="20"/>
                <w:szCs w:val="20"/>
              </w:rPr>
              <w:t>Takas izmanto gan gājēji, gan velobraucēji, gan pludmales apmeklētāji.</w:t>
            </w:r>
          </w:p>
          <w:p w:rsidR="00B83F57" w:rsidRDefault="00B83F57">
            <w:pPr>
              <w:rPr>
                <w:sz w:val="20"/>
                <w:szCs w:val="20"/>
              </w:rPr>
            </w:pPr>
          </w:p>
        </w:tc>
        <w:tc>
          <w:tcPr>
            <w:tcW w:w="3969" w:type="dxa"/>
          </w:tcPr>
          <w:p w:rsidR="00B83F57" w:rsidRDefault="00CE7CDB">
            <w:pPr>
              <w:jc w:val="both"/>
              <w:rPr>
                <w:sz w:val="20"/>
                <w:szCs w:val="20"/>
              </w:rPr>
            </w:pPr>
            <w:r>
              <w:rPr>
                <w:sz w:val="20"/>
                <w:szCs w:val="20"/>
              </w:rPr>
              <w:t xml:space="preserve">Ir sasniegts mērķis – noeju uz jūru izveide, pastaigu taku izveide – ar kādu šis objekts ticis izveidots. </w:t>
            </w:r>
          </w:p>
          <w:p w:rsidR="00B83F57" w:rsidRDefault="00CE7CDB">
            <w:pPr>
              <w:jc w:val="both"/>
              <w:rPr>
                <w:sz w:val="20"/>
                <w:szCs w:val="20"/>
              </w:rPr>
            </w:pPr>
            <w:r>
              <w:rPr>
                <w:sz w:val="20"/>
                <w:szCs w:val="20"/>
              </w:rPr>
              <w:t>Gan pastaigu takas, gan noejas uz jūru tiek aktīvi izmantotas.</w:t>
            </w:r>
          </w:p>
        </w:tc>
        <w:tc>
          <w:tcPr>
            <w:tcW w:w="1843" w:type="dxa"/>
          </w:tcPr>
          <w:p w:rsidR="00B83F57" w:rsidRDefault="00CE7CDB">
            <w:pPr>
              <w:rPr>
                <w:sz w:val="20"/>
                <w:szCs w:val="20"/>
              </w:rPr>
            </w:pPr>
            <w:r>
              <w:rPr>
                <w:sz w:val="20"/>
                <w:szCs w:val="20"/>
              </w:rPr>
              <w:t>Objekta uzturēšanu un apsaimniekošanu veic Jūrmalas pilsētas pašvaldība.</w:t>
            </w:r>
          </w:p>
        </w:tc>
        <w:tc>
          <w:tcPr>
            <w:tcW w:w="3707" w:type="dxa"/>
          </w:tcPr>
          <w:p w:rsidR="00B83F57" w:rsidRDefault="00CE7CDB">
            <w:pPr>
              <w:jc w:val="both"/>
              <w:rPr>
                <w:sz w:val="20"/>
                <w:szCs w:val="20"/>
              </w:rPr>
            </w:pPr>
            <w:r>
              <w:rPr>
                <w:sz w:val="20"/>
                <w:szCs w:val="20"/>
              </w:rPr>
              <w:t xml:space="preserve">Taku, kas tiek pārsvarā izmantota kā veloceliņš, ieteicams pārvirzīt uz jau asfaltētām ielām, savienojot veco veloceliņa posmu un tālāk virzot to pa Jūrnieku, Kuģu un Lašu ielām. </w:t>
            </w:r>
          </w:p>
        </w:tc>
      </w:tr>
      <w:tr w:rsidR="00B83F57" w:rsidTr="00012224">
        <w:tc>
          <w:tcPr>
            <w:tcW w:w="421" w:type="dxa"/>
          </w:tcPr>
          <w:p w:rsidR="00B83F57" w:rsidRDefault="00CE7CDB">
            <w:pPr>
              <w:rPr>
                <w:sz w:val="20"/>
                <w:szCs w:val="20"/>
              </w:rPr>
            </w:pPr>
            <w:r>
              <w:rPr>
                <w:sz w:val="20"/>
                <w:szCs w:val="20"/>
              </w:rPr>
              <w:t>4.</w:t>
            </w:r>
          </w:p>
        </w:tc>
        <w:tc>
          <w:tcPr>
            <w:tcW w:w="1821" w:type="dxa"/>
          </w:tcPr>
          <w:p w:rsidR="00B83F57" w:rsidRDefault="00CE7CDB">
            <w:pPr>
              <w:jc w:val="both"/>
              <w:rPr>
                <w:sz w:val="20"/>
                <w:szCs w:val="20"/>
              </w:rPr>
            </w:pPr>
            <w:proofErr w:type="spellStart"/>
            <w:r>
              <w:rPr>
                <w:sz w:val="20"/>
                <w:szCs w:val="20"/>
              </w:rPr>
              <w:t>Velonovietnes</w:t>
            </w:r>
            <w:proofErr w:type="spellEnd"/>
          </w:p>
        </w:tc>
        <w:tc>
          <w:tcPr>
            <w:tcW w:w="3118" w:type="dxa"/>
          </w:tcPr>
          <w:p w:rsidR="00B83F57" w:rsidRDefault="00CE7CDB">
            <w:pPr>
              <w:rPr>
                <w:sz w:val="20"/>
                <w:szCs w:val="20"/>
              </w:rPr>
            </w:pPr>
            <w:r>
              <w:rPr>
                <w:sz w:val="20"/>
                <w:szCs w:val="20"/>
              </w:rPr>
              <w:t>Abos DAP dabas taku galos izveidotās novietnes ir labā kvalitātē.</w:t>
            </w:r>
          </w:p>
          <w:p w:rsidR="00B83F57" w:rsidRDefault="00CE7CDB">
            <w:pPr>
              <w:rPr>
                <w:sz w:val="20"/>
                <w:szCs w:val="20"/>
              </w:rPr>
            </w:pPr>
            <w:proofErr w:type="spellStart"/>
            <w:r>
              <w:rPr>
                <w:sz w:val="20"/>
                <w:szCs w:val="20"/>
              </w:rPr>
              <w:t>Velonovietnē</w:t>
            </w:r>
            <w:proofErr w:type="spellEnd"/>
            <w:r>
              <w:rPr>
                <w:sz w:val="20"/>
                <w:szCs w:val="20"/>
              </w:rPr>
              <w:t xml:space="preserve"> vieta paredzēta astoņiem velosipēdiem.</w:t>
            </w:r>
          </w:p>
          <w:p w:rsidR="00B83F57" w:rsidRDefault="00B83F57">
            <w:pPr>
              <w:rPr>
                <w:sz w:val="20"/>
                <w:szCs w:val="20"/>
              </w:rPr>
            </w:pPr>
          </w:p>
        </w:tc>
        <w:tc>
          <w:tcPr>
            <w:tcW w:w="3969" w:type="dxa"/>
          </w:tcPr>
          <w:p w:rsidR="00B83F57" w:rsidRDefault="00CE7CDB">
            <w:pPr>
              <w:jc w:val="both"/>
              <w:rPr>
                <w:sz w:val="20"/>
                <w:szCs w:val="20"/>
              </w:rPr>
            </w:pPr>
            <w:r>
              <w:rPr>
                <w:sz w:val="20"/>
                <w:szCs w:val="20"/>
              </w:rPr>
              <w:t xml:space="preserve">Abas </w:t>
            </w:r>
            <w:proofErr w:type="spellStart"/>
            <w:r>
              <w:rPr>
                <w:sz w:val="20"/>
                <w:szCs w:val="20"/>
              </w:rPr>
              <w:t>velonovietnes</w:t>
            </w:r>
            <w:proofErr w:type="spellEnd"/>
            <w:r>
              <w:rPr>
                <w:sz w:val="20"/>
                <w:szCs w:val="20"/>
              </w:rPr>
              <w:t xml:space="preserve"> izvietotas DAP takas galos un savu izveidošanas mērķi ir sasniegušas. </w:t>
            </w:r>
          </w:p>
          <w:p w:rsidR="00B83F57" w:rsidRDefault="00CE7CDB">
            <w:pPr>
              <w:jc w:val="both"/>
              <w:rPr>
                <w:sz w:val="20"/>
                <w:szCs w:val="20"/>
              </w:rPr>
            </w:pPr>
            <w:r>
              <w:rPr>
                <w:sz w:val="20"/>
                <w:szCs w:val="20"/>
              </w:rPr>
              <w:t>Lai novērtētu to novietojuma efektivitāti, kā arī noslodzi un nepieciešamību pēc papildus novietnēm teritorijā, būtu jāveic apmeklētāju, īpaši velosipēdistu, anketēšana un uzskaite.</w:t>
            </w:r>
          </w:p>
        </w:tc>
        <w:tc>
          <w:tcPr>
            <w:tcW w:w="1843" w:type="dxa"/>
          </w:tcPr>
          <w:p w:rsidR="00B83F57" w:rsidRDefault="00CE7CDB">
            <w:pPr>
              <w:rPr>
                <w:sz w:val="20"/>
                <w:szCs w:val="20"/>
              </w:rPr>
            </w:pPr>
            <w:r>
              <w:rPr>
                <w:sz w:val="20"/>
                <w:szCs w:val="20"/>
              </w:rPr>
              <w:t>Objekta uzturēšana un apsaimniekošana tiek veikta regulāri, to veic Dabas aizsardzības pārvaldes Pierīgas administrācija.</w:t>
            </w:r>
          </w:p>
        </w:tc>
        <w:tc>
          <w:tcPr>
            <w:tcW w:w="3707" w:type="dxa"/>
          </w:tcPr>
          <w:p w:rsidR="00B83F57" w:rsidRDefault="00CE7CDB">
            <w:pPr>
              <w:jc w:val="both"/>
              <w:rPr>
                <w:sz w:val="20"/>
                <w:szCs w:val="20"/>
              </w:rPr>
            </w:pPr>
            <w:r>
              <w:rPr>
                <w:sz w:val="20"/>
                <w:szCs w:val="20"/>
              </w:rPr>
              <w:t xml:space="preserve">Nav </w:t>
            </w:r>
            <w:proofErr w:type="spellStart"/>
            <w:r>
              <w:rPr>
                <w:sz w:val="20"/>
                <w:szCs w:val="20"/>
              </w:rPr>
              <w:t>velonovietņu</w:t>
            </w:r>
            <w:proofErr w:type="spellEnd"/>
            <w:r>
              <w:rPr>
                <w:sz w:val="20"/>
                <w:szCs w:val="20"/>
              </w:rPr>
              <w:t xml:space="preserve"> pludmales apmeklētājiem, velosipēdi tiek pieslēgti pie atpūtas krēsliem pludmales zonā. </w:t>
            </w:r>
          </w:p>
          <w:p w:rsidR="00B83F57" w:rsidRDefault="00CE7CDB">
            <w:pPr>
              <w:jc w:val="both"/>
              <w:rPr>
                <w:sz w:val="20"/>
                <w:szCs w:val="20"/>
              </w:rPr>
            </w:pPr>
            <w:r>
              <w:rPr>
                <w:sz w:val="20"/>
                <w:szCs w:val="20"/>
              </w:rPr>
              <w:t xml:space="preserve">JPD būtu jāapsver novietņu izveidošana pludmalei pieguļošajā teritorijā vai specifiskās vietās pludmalē (vienojoties ar biotopu speciālistu). Tādējādi apmeklētāji, kas uz pludmali ierodas ar velosipēdiem, nebūtu spiesti tos atstāt pie soliem, kas paredzēti citam mērķim. </w:t>
            </w:r>
            <w:proofErr w:type="spellStart"/>
            <w:r>
              <w:rPr>
                <w:sz w:val="20"/>
                <w:szCs w:val="20"/>
              </w:rPr>
              <w:t>Velonovietņu</w:t>
            </w:r>
            <w:proofErr w:type="spellEnd"/>
            <w:r>
              <w:rPr>
                <w:sz w:val="20"/>
                <w:szCs w:val="20"/>
              </w:rPr>
              <w:t xml:space="preserve"> atrašanās vietām būtu jāparādās teritorijas kartē, kur iezīmētas pastaigu takas, kā arī Jūrmalas pilsētā esošajās kartēs, kur parādās informācija par dabas parkā pieejamo infrastruktūru.</w:t>
            </w:r>
          </w:p>
        </w:tc>
      </w:tr>
    </w:tbl>
    <w:p w:rsidR="00B83F57" w:rsidRDefault="00B83F57" w:rsidP="00012224"/>
    <w:sectPr w:rsidR="00B83F57">
      <w:pgSz w:w="16838" w:h="11906"/>
      <w:pgMar w:top="1800" w:right="1440" w:bottom="180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B83F57"/>
    <w:rsid w:val="00012224"/>
    <w:rsid w:val="00B83F57"/>
    <w:rsid w:val="00CE7C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1C2F5-EE28-405E-BAE5-2934F9FC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lv-LV"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710</Words>
  <Characters>4049</Characters>
  <Application>Microsoft Office Word</Application>
  <DocSecurity>0</DocSecurity>
  <Lines>33</Lines>
  <Paragraphs>9</Paragraphs>
  <ScaleCrop>false</ScaleCrop>
  <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2018-10-14T16:21:00Z</dcterms:created>
  <dcterms:modified xsi:type="dcterms:W3CDTF">2019-03-05T07:50:00Z</dcterms:modified>
</cp:coreProperties>
</file>